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A4" w:rsidRPr="007E3CEF" w:rsidRDefault="00147CA4">
      <w:pPr>
        <w:rPr>
          <w:b/>
        </w:rPr>
      </w:pPr>
      <w:bookmarkStart w:id="0" w:name="_GoBack"/>
      <w:bookmarkEnd w:id="0"/>
      <w:r w:rsidRPr="007E3CEF">
        <w:rPr>
          <w:b/>
        </w:rPr>
        <w:t>Professor Kim</w:t>
      </w:r>
    </w:p>
    <w:p w:rsidR="00147CA4" w:rsidRPr="007E3CEF" w:rsidRDefault="00A24A8A">
      <w:pPr>
        <w:rPr>
          <w:b/>
        </w:rPr>
      </w:pPr>
      <w:r>
        <w:rPr>
          <w:b/>
        </w:rPr>
        <w:t>Fall</w:t>
      </w:r>
      <w:r w:rsidR="00147CA4" w:rsidRPr="007E3CEF">
        <w:rPr>
          <w:b/>
        </w:rPr>
        <w:t xml:space="preserve"> 20</w:t>
      </w:r>
      <w:r w:rsidR="00A97374">
        <w:rPr>
          <w:b/>
        </w:rPr>
        <w:t>1</w:t>
      </w:r>
      <w:r w:rsidR="0045229C">
        <w:rPr>
          <w:b/>
        </w:rPr>
        <w:t>7</w:t>
      </w:r>
    </w:p>
    <w:p w:rsidR="00147CA4" w:rsidRDefault="00147CA4"/>
    <w:p w:rsidR="00697B5D" w:rsidRPr="00BA298B" w:rsidRDefault="00147CA4" w:rsidP="00BA298B">
      <w:pPr>
        <w:jc w:val="center"/>
        <w:rPr>
          <w:b/>
        </w:rPr>
      </w:pPr>
      <w:r w:rsidRPr="00BA298B">
        <w:rPr>
          <w:b/>
        </w:rPr>
        <w:t>ECONOMICS 220</w:t>
      </w:r>
      <w:r w:rsidR="004F5021">
        <w:rPr>
          <w:b/>
        </w:rPr>
        <w:t>-00</w:t>
      </w:r>
      <w:r w:rsidR="00A24A8A">
        <w:rPr>
          <w:b/>
        </w:rPr>
        <w:t>2</w:t>
      </w:r>
      <w:r w:rsidR="00BD1237">
        <w:rPr>
          <w:b/>
        </w:rPr>
        <w:t xml:space="preserve"> (</w:t>
      </w:r>
      <w:r w:rsidR="00A24A8A">
        <w:rPr>
          <w:b/>
        </w:rPr>
        <w:t>2600</w:t>
      </w:r>
      <w:r w:rsidR="00801799">
        <w:rPr>
          <w:b/>
        </w:rPr>
        <w:t>)</w:t>
      </w:r>
    </w:p>
    <w:p w:rsidR="00147CA4" w:rsidRPr="00BA298B" w:rsidRDefault="004C2A04" w:rsidP="00BA298B">
      <w:pPr>
        <w:jc w:val="center"/>
        <w:rPr>
          <w:b/>
        </w:rPr>
      </w:pPr>
      <w:r>
        <w:rPr>
          <w:b/>
        </w:rPr>
        <w:t xml:space="preserve">Probability &amp; Statistics for Economists </w:t>
      </w:r>
    </w:p>
    <w:p w:rsidR="001207E7" w:rsidRDefault="001207E7"/>
    <w:p w:rsidR="001207E7" w:rsidRPr="00C63235" w:rsidRDefault="00C63235">
      <w:pPr>
        <w:rPr>
          <w:b/>
        </w:rPr>
      </w:pPr>
      <w:r w:rsidRPr="00C63235">
        <w:rPr>
          <w:b/>
        </w:rPr>
        <w:t>Instructor Information</w:t>
      </w:r>
      <w:r w:rsidR="009A3266">
        <w:rPr>
          <w:b/>
        </w:rPr>
        <w:t>:</w:t>
      </w:r>
    </w:p>
    <w:p w:rsidR="00C63235" w:rsidRDefault="00C63235">
      <w:r>
        <w:t xml:space="preserve">Name: Jong </w:t>
      </w:r>
      <w:r w:rsidR="00A24A8A">
        <w:t xml:space="preserve">H. </w:t>
      </w:r>
      <w:r>
        <w:t>Kim</w:t>
      </w:r>
    </w:p>
    <w:p w:rsidR="00C63235" w:rsidRDefault="00C63235">
      <w:r>
        <w:t xml:space="preserve">Office: </w:t>
      </w:r>
      <w:r w:rsidR="00801799">
        <w:t>311A</w:t>
      </w:r>
      <w:r>
        <w:t xml:space="preserve"> </w:t>
      </w:r>
      <w:r w:rsidR="002269F1">
        <w:t xml:space="preserve">at </w:t>
      </w:r>
      <w:r w:rsidR="00801799">
        <w:t>the Rich</w:t>
      </w:r>
      <w:r w:rsidR="00F96445">
        <w:t xml:space="preserve"> B</w:t>
      </w:r>
      <w:r>
        <w:t>uilding</w:t>
      </w:r>
    </w:p>
    <w:p w:rsidR="00C63235" w:rsidRDefault="00C63235">
      <w:r>
        <w:t>Email:</w:t>
      </w:r>
      <w:r w:rsidR="00F96445">
        <w:t xml:space="preserve"> </w:t>
      </w:r>
      <w:hyperlink r:id="rId8" w:history="1">
        <w:r w:rsidR="00555E13" w:rsidRPr="004F3660">
          <w:rPr>
            <w:rStyle w:val="Hyperlink"/>
          </w:rPr>
          <w:t>jong.hwa.kim@emory.edu</w:t>
        </w:r>
      </w:hyperlink>
    </w:p>
    <w:p w:rsidR="004C2A04" w:rsidRDefault="00C63235" w:rsidP="004C2A04">
      <w:r>
        <w:t xml:space="preserve">Office Hours: </w:t>
      </w:r>
      <w:r w:rsidR="0045229C">
        <w:t>Tuesday,</w:t>
      </w:r>
      <w:r w:rsidR="00B075E6">
        <w:t xml:space="preserve"> Wedne</w:t>
      </w:r>
      <w:r w:rsidR="000911D9">
        <w:t>sday</w:t>
      </w:r>
      <w:r w:rsidR="0045229C">
        <w:t xml:space="preserve"> &amp; Thursday</w:t>
      </w:r>
      <w:r w:rsidR="000911D9">
        <w:t xml:space="preserve"> </w:t>
      </w:r>
      <w:r w:rsidR="00B075E6">
        <w:t xml:space="preserve">from </w:t>
      </w:r>
      <w:r w:rsidR="005A41DD">
        <w:t>3</w:t>
      </w:r>
      <w:r w:rsidR="00A24A8A">
        <w:t>:0</w:t>
      </w:r>
      <w:r w:rsidR="004C2A04">
        <w:t xml:space="preserve">0 </w:t>
      </w:r>
      <w:r w:rsidR="00B075E6">
        <w:t>p</w:t>
      </w:r>
      <w:r w:rsidR="004C2A04">
        <w:t xml:space="preserve">m to </w:t>
      </w:r>
      <w:r w:rsidR="00A24A8A">
        <w:t>6</w:t>
      </w:r>
      <w:r w:rsidR="000911D9">
        <w:t>:</w:t>
      </w:r>
      <w:r w:rsidR="00A24A8A">
        <w:t>0</w:t>
      </w:r>
      <w:r w:rsidR="000911D9">
        <w:t xml:space="preserve">0 </w:t>
      </w:r>
      <w:r w:rsidR="00B075E6">
        <w:t>p</w:t>
      </w:r>
      <w:r w:rsidR="004C2A04">
        <w:t>m,</w:t>
      </w:r>
      <w:r w:rsidR="000911D9">
        <w:t xml:space="preserve"> </w:t>
      </w:r>
      <w:r w:rsidR="004C2A04">
        <w:t>or by appointment</w:t>
      </w:r>
    </w:p>
    <w:p w:rsidR="00C63235" w:rsidRPr="0061204A" w:rsidRDefault="00C63235">
      <w:pPr>
        <w:rPr>
          <w:sz w:val="16"/>
          <w:szCs w:val="16"/>
        </w:rPr>
      </w:pPr>
    </w:p>
    <w:p w:rsidR="002B7F7C" w:rsidRPr="000E7574" w:rsidRDefault="002B7F7C" w:rsidP="002B7F7C">
      <w:pPr>
        <w:rPr>
          <w:b/>
        </w:rPr>
      </w:pPr>
      <w:r w:rsidRPr="000E7574">
        <w:rPr>
          <w:b/>
        </w:rPr>
        <w:t>Class Information</w:t>
      </w:r>
      <w:r>
        <w:rPr>
          <w:b/>
        </w:rPr>
        <w:t>:</w:t>
      </w:r>
    </w:p>
    <w:p w:rsidR="002B7F7C" w:rsidRDefault="002B7F7C" w:rsidP="002B7F7C">
      <w:r>
        <w:t>Classroom: White Hall 1</w:t>
      </w:r>
      <w:r w:rsidR="00A24A8A">
        <w:t>03</w:t>
      </w:r>
    </w:p>
    <w:p w:rsidR="002B7F7C" w:rsidRDefault="002B7F7C" w:rsidP="002B7F7C">
      <w:r>
        <w:t xml:space="preserve">Class Dates: </w:t>
      </w:r>
      <w:r w:rsidR="004C2A04">
        <w:t>Tuesday</w:t>
      </w:r>
      <w:r w:rsidR="00A24A8A">
        <w:t xml:space="preserve"> &amp; </w:t>
      </w:r>
      <w:r w:rsidR="004C2A04">
        <w:t>Thursday</w:t>
      </w:r>
    </w:p>
    <w:p w:rsidR="002B7F7C" w:rsidRDefault="002B7F7C" w:rsidP="002B7F7C">
      <w:r>
        <w:t xml:space="preserve">Class </w:t>
      </w:r>
      <w:r w:rsidR="00A24A8A">
        <w:t xml:space="preserve">Meeting </w:t>
      </w:r>
      <w:r>
        <w:t xml:space="preserve">Time: </w:t>
      </w:r>
      <w:r w:rsidR="00A24A8A">
        <w:t>8</w:t>
      </w:r>
      <w:r>
        <w:t>:</w:t>
      </w:r>
      <w:r w:rsidR="00A24A8A">
        <w:t>3</w:t>
      </w:r>
      <w:r>
        <w:t xml:space="preserve">0 </w:t>
      </w:r>
      <w:r w:rsidR="00A24A8A">
        <w:t>AM</w:t>
      </w:r>
      <w:r>
        <w:t xml:space="preserve"> – </w:t>
      </w:r>
      <w:r w:rsidR="005A41DD">
        <w:t>9</w:t>
      </w:r>
      <w:r>
        <w:t>:</w:t>
      </w:r>
      <w:r w:rsidR="00A24A8A">
        <w:t>4</w:t>
      </w:r>
      <w:r w:rsidR="000911D9">
        <w:t>5</w:t>
      </w:r>
      <w:r>
        <w:t xml:space="preserve"> </w:t>
      </w:r>
      <w:r w:rsidR="00A24A8A">
        <w:t>AM</w:t>
      </w:r>
    </w:p>
    <w:p w:rsidR="002B7F7C" w:rsidRPr="0061204A" w:rsidRDefault="002B7F7C">
      <w:pPr>
        <w:rPr>
          <w:sz w:val="16"/>
          <w:szCs w:val="16"/>
        </w:rPr>
      </w:pPr>
    </w:p>
    <w:p w:rsidR="00FF2920" w:rsidRDefault="00FF2920" w:rsidP="00FF2920">
      <w:r w:rsidRPr="001207E7">
        <w:rPr>
          <w:b/>
        </w:rPr>
        <w:t>Description &amp; Goal</w:t>
      </w:r>
      <w:r w:rsidR="008D5D91">
        <w:rPr>
          <w:b/>
        </w:rPr>
        <w:t>s</w:t>
      </w:r>
      <w:r w:rsidRPr="001207E7">
        <w:rPr>
          <w:b/>
        </w:rPr>
        <w:t xml:space="preserve"> of Economics 220</w:t>
      </w:r>
      <w:r w:rsidRPr="00FC5F2C">
        <w:rPr>
          <w:b/>
        </w:rPr>
        <w:t>:</w:t>
      </w:r>
      <w:r>
        <w:t xml:space="preserve"> Economic inference, hypothesis testing, and forecasting are essential parts of applied economics. The probability and statistics theory provides useful tools for carrying this task. The rational is that economic phenomena can be viewed as the realization of underlying stochastic processes. The nature and property of a stochastic process can be described by its probability law, which can be inferred by appropriate statistical methods in application to the observed data.</w:t>
      </w:r>
    </w:p>
    <w:p w:rsidR="00FF2920" w:rsidRPr="000911D9" w:rsidRDefault="00FF2920" w:rsidP="00FF2920">
      <w:pPr>
        <w:rPr>
          <w:sz w:val="16"/>
          <w:szCs w:val="16"/>
        </w:rPr>
      </w:pPr>
    </w:p>
    <w:p w:rsidR="00FF2920" w:rsidRDefault="00FF2920" w:rsidP="00FF2920">
      <w:r>
        <w:t xml:space="preserve">Economics 220 is the first course providing </w:t>
      </w:r>
      <w:r w:rsidRPr="000911D9">
        <w:t xml:space="preserve">theoretical </w:t>
      </w:r>
      <w:r>
        <w:t xml:space="preserve">tools for the </w:t>
      </w:r>
      <w:r w:rsidRPr="000911D9">
        <w:t>advanced</w:t>
      </w:r>
      <w:r>
        <w:t xml:space="preserve"> courses such as </w:t>
      </w:r>
      <w:r w:rsidRPr="00BA298B">
        <w:rPr>
          <w:i/>
        </w:rPr>
        <w:t>Empirical Methods in Economics</w:t>
      </w:r>
      <w:r>
        <w:t xml:space="preserve"> (Economics 221), </w:t>
      </w:r>
      <w:r w:rsidRPr="00BA298B">
        <w:rPr>
          <w:i/>
        </w:rPr>
        <w:t xml:space="preserve">Econometrics </w:t>
      </w:r>
      <w:r>
        <w:t xml:space="preserve">(Economics 420), and </w:t>
      </w:r>
      <w:r w:rsidRPr="00BA298B">
        <w:rPr>
          <w:i/>
        </w:rPr>
        <w:t>Economics Forecasting</w:t>
      </w:r>
      <w:r>
        <w:t xml:space="preserve"> (Economics 422). Economics 220 introduces basic concepts and theory in probability and statistics. Throughout the course, </w:t>
      </w:r>
      <w:r w:rsidRPr="001207E7">
        <w:rPr>
          <w:i/>
        </w:rPr>
        <w:t>rigorous quantitative analysis</w:t>
      </w:r>
      <w:r>
        <w:t xml:space="preserve"> will be emphasized, although economic motivation</w:t>
      </w:r>
      <w:r w:rsidR="00A97374">
        <w:t>s</w:t>
      </w:r>
      <w:r>
        <w:t xml:space="preserve"> </w:t>
      </w:r>
      <w:r w:rsidR="00F96445">
        <w:t xml:space="preserve">and </w:t>
      </w:r>
      <w:r>
        <w:t>intuition</w:t>
      </w:r>
      <w:r w:rsidR="00A97374">
        <w:t>s</w:t>
      </w:r>
      <w:r>
        <w:t xml:space="preserve"> will be provided as well. Students are required to have a good command of algebra, especially differentiation and integration.</w:t>
      </w:r>
    </w:p>
    <w:p w:rsidR="00FF2920" w:rsidRPr="0061204A" w:rsidRDefault="00FF2920">
      <w:pPr>
        <w:rPr>
          <w:sz w:val="16"/>
          <w:szCs w:val="16"/>
        </w:rPr>
      </w:pPr>
    </w:p>
    <w:p w:rsidR="00C63235" w:rsidRPr="00B927A8" w:rsidRDefault="00C63235">
      <w:pPr>
        <w:rPr>
          <w:b/>
        </w:rPr>
      </w:pPr>
      <w:r w:rsidRPr="00B927A8">
        <w:rPr>
          <w:b/>
        </w:rPr>
        <w:t>Course Information</w:t>
      </w:r>
      <w:r w:rsidR="00FC5F2C">
        <w:rPr>
          <w:b/>
        </w:rPr>
        <w:t>:</w:t>
      </w:r>
    </w:p>
    <w:p w:rsidR="00C63235" w:rsidRDefault="00C63235">
      <w:r w:rsidRPr="00C93D6E">
        <w:rPr>
          <w:b/>
        </w:rPr>
        <w:t>Prerequisite</w:t>
      </w:r>
      <w:r>
        <w:t xml:space="preserve">: </w:t>
      </w:r>
      <w:r w:rsidR="000911D9">
        <w:t xml:space="preserve">Econ101 and </w:t>
      </w:r>
      <w:r>
        <w:t>Math 111 (Calculus) or permission by the instructor</w:t>
      </w:r>
    </w:p>
    <w:p w:rsidR="00C93D6E" w:rsidRPr="0061204A" w:rsidRDefault="00C93D6E">
      <w:pPr>
        <w:rPr>
          <w:sz w:val="16"/>
          <w:szCs w:val="16"/>
        </w:rPr>
      </w:pPr>
    </w:p>
    <w:p w:rsidR="00B927A8" w:rsidRDefault="007D3276" w:rsidP="0089368B">
      <w:r>
        <w:rPr>
          <w:b/>
        </w:rPr>
        <w:t xml:space="preserve">Required </w:t>
      </w:r>
      <w:r w:rsidR="00C63235" w:rsidRPr="00C93D6E">
        <w:rPr>
          <w:b/>
        </w:rPr>
        <w:t>Text</w:t>
      </w:r>
      <w:r w:rsidR="00F96445">
        <w:rPr>
          <w:b/>
        </w:rPr>
        <w:t>books</w:t>
      </w:r>
      <w:r w:rsidR="00C63235">
        <w:t>:</w:t>
      </w:r>
      <w:r w:rsidR="00D7748D">
        <w:t xml:space="preserve"> (</w:t>
      </w:r>
      <w:r w:rsidR="00D7748D" w:rsidRPr="00D7748D">
        <w:rPr>
          <w:i/>
        </w:rPr>
        <w:t>i</w:t>
      </w:r>
      <w:r w:rsidR="00D7748D">
        <w:t>)</w:t>
      </w:r>
      <w:r w:rsidR="000911D9">
        <w:t xml:space="preserve"> </w:t>
      </w:r>
      <w:r w:rsidR="00D7748D">
        <w:t>Sanjiv Jaggia</w:t>
      </w:r>
      <w:r w:rsidR="006A23F0">
        <w:t xml:space="preserve"> and </w:t>
      </w:r>
      <w:r w:rsidR="00D7748D">
        <w:t>Alison Kelly (JK),</w:t>
      </w:r>
      <w:r w:rsidR="0089368B">
        <w:t xml:space="preserve"> 201</w:t>
      </w:r>
      <w:r w:rsidR="00D7748D">
        <w:t>5</w:t>
      </w:r>
      <w:r w:rsidR="0089368B">
        <w:t xml:space="preserve">. </w:t>
      </w:r>
      <w:r w:rsidR="00D7748D">
        <w:t xml:space="preserve">Business </w:t>
      </w:r>
      <w:r w:rsidR="0089368B">
        <w:t>Statistics</w:t>
      </w:r>
      <w:r w:rsidR="00D7748D">
        <w:t>: Communication with Numbers</w:t>
      </w:r>
      <w:r w:rsidR="006A23F0">
        <w:t xml:space="preserve"> </w:t>
      </w:r>
      <w:r w:rsidR="0089368B">
        <w:t>(ISBN</w:t>
      </w:r>
      <w:r w:rsidR="00D7748D">
        <w:t>-13</w:t>
      </w:r>
      <w:r w:rsidR="0089368B">
        <w:t xml:space="preserve">: </w:t>
      </w:r>
      <w:r w:rsidR="006A23F0">
        <w:t>978-</w:t>
      </w:r>
      <w:r w:rsidR="00D7748D">
        <w:t>0078020551</w:t>
      </w:r>
      <w:r w:rsidR="0089368B">
        <w:t xml:space="preserve">) </w:t>
      </w:r>
      <w:r w:rsidR="00D7748D">
        <w:t>McGraw-Hill Education</w:t>
      </w:r>
      <w:r w:rsidR="0089368B">
        <w:t xml:space="preserve">, </w:t>
      </w:r>
      <w:r w:rsidR="00D7748D">
        <w:t>2</w:t>
      </w:r>
      <w:r w:rsidR="00D7748D" w:rsidRPr="00D7748D">
        <w:rPr>
          <w:vertAlign w:val="superscript"/>
        </w:rPr>
        <w:t>nd</w:t>
      </w:r>
      <w:r w:rsidR="00D7748D">
        <w:t xml:space="preserve"> </w:t>
      </w:r>
      <w:r w:rsidR="0089368B">
        <w:t>edition</w:t>
      </w:r>
      <w:r w:rsidR="006A23F0">
        <w:t>.</w:t>
      </w:r>
    </w:p>
    <w:p w:rsidR="00D7748D" w:rsidRDefault="00D7748D" w:rsidP="0089368B">
      <w:r>
        <w:t>(</w:t>
      </w:r>
      <w:r w:rsidRPr="00D7748D">
        <w:rPr>
          <w:i/>
        </w:rPr>
        <w:t>ii</w:t>
      </w:r>
      <w:r>
        <w:t>) William H. Sandholm and Brett A. Saraniti (SS), 2017. Vital Statistics: Probability and Statistics for Economics and Business</w:t>
      </w:r>
      <w:r w:rsidR="003C6A50" w:rsidRPr="003C6A50">
        <w:rPr>
          <w:color w:val="FF0000"/>
        </w:rPr>
        <w:t>*</w:t>
      </w:r>
      <w:r w:rsidRPr="003C6A50">
        <w:rPr>
          <w:color w:val="FF0000"/>
        </w:rPr>
        <w:t xml:space="preserve"> </w:t>
      </w:r>
      <w:r>
        <w:t>(ISBN-13: ) Oxford University Press, 1</w:t>
      </w:r>
      <w:r w:rsidRPr="00D7748D">
        <w:rPr>
          <w:vertAlign w:val="superscript"/>
        </w:rPr>
        <w:t>st</w:t>
      </w:r>
      <w:r>
        <w:t xml:space="preserve"> edition.</w:t>
      </w:r>
      <w:r w:rsidR="009306CC">
        <w:t xml:space="preserve"> </w:t>
      </w:r>
      <w:r w:rsidR="009306CC" w:rsidRPr="009306CC">
        <w:rPr>
          <w:color w:val="FF0000"/>
        </w:rPr>
        <w:t>*</w:t>
      </w:r>
      <w:r w:rsidR="009306CC">
        <w:t>This textbook will be available three weeks later only in the campus bookstore.</w:t>
      </w:r>
    </w:p>
    <w:p w:rsidR="00C93D6E" w:rsidRPr="000911D9" w:rsidRDefault="00C93D6E">
      <w:pPr>
        <w:rPr>
          <w:sz w:val="16"/>
          <w:szCs w:val="16"/>
        </w:rPr>
      </w:pPr>
    </w:p>
    <w:p w:rsidR="0089368B" w:rsidRDefault="00377834">
      <w:r>
        <w:t xml:space="preserve">Students can download online resources – data files and answers to selected </w:t>
      </w:r>
      <w:r w:rsidR="00BB7F33">
        <w:t>odd-numbered</w:t>
      </w:r>
      <w:r>
        <w:t xml:space="preserve"> exercises from</w:t>
      </w:r>
      <w:r w:rsidR="00E6217C">
        <w:t xml:space="preserve"> </w:t>
      </w:r>
      <w:r w:rsidR="00E6217C" w:rsidRPr="003C6A50">
        <w:rPr>
          <w:b/>
        </w:rPr>
        <w:t>CONNECT</w:t>
      </w:r>
      <w:r w:rsidR="00E6217C">
        <w:t xml:space="preserve"> at</w:t>
      </w:r>
      <w:r>
        <w:t xml:space="preserve"> </w:t>
      </w:r>
      <w:hyperlink r:id="rId9" w:history="1">
        <w:r w:rsidR="00E6217C" w:rsidRPr="004F3660">
          <w:rPr>
            <w:rStyle w:val="Hyperlink"/>
          </w:rPr>
          <w:t>www.</w:t>
        </w:r>
      </w:hyperlink>
      <w:r w:rsidR="00E6217C">
        <w:rPr>
          <w:rStyle w:val="Hyperlink"/>
        </w:rPr>
        <w:t>mheducation.com/highered/product/</w:t>
      </w:r>
      <w:r>
        <w:t xml:space="preserve">. If students purchase </w:t>
      </w:r>
      <w:r w:rsidR="00E6217C">
        <w:t>the</w:t>
      </w:r>
      <w:r>
        <w:t xml:space="preserve"> access card/code, they will be provided with </w:t>
      </w:r>
      <w:r w:rsidR="00E6217C">
        <w:t xml:space="preserve">a </w:t>
      </w:r>
      <w:r>
        <w:t xml:space="preserve">direct access to the online resources as well as interactive tutorial exercises. </w:t>
      </w:r>
    </w:p>
    <w:p w:rsidR="003C6A50" w:rsidRDefault="003C6A50"/>
    <w:p w:rsidR="0089368B" w:rsidRDefault="0089368B" w:rsidP="00C22B22">
      <w:pPr>
        <w:autoSpaceDE w:val="0"/>
        <w:autoSpaceDN w:val="0"/>
        <w:adjustRightInd w:val="0"/>
        <w:rPr>
          <w:color w:val="000000"/>
          <w:lang w:eastAsia="ko-KR"/>
        </w:rPr>
      </w:pPr>
      <w:r w:rsidRPr="0089368B">
        <w:rPr>
          <w:b/>
        </w:rPr>
        <w:lastRenderedPageBreak/>
        <w:t>Statistical Software</w:t>
      </w:r>
      <w:r>
        <w:t xml:space="preserve">: </w:t>
      </w:r>
      <w:r w:rsidR="00C22B22" w:rsidRPr="00C22B22">
        <w:rPr>
          <w:color w:val="000000"/>
          <w:lang w:eastAsia="ko-KR"/>
        </w:rPr>
        <w:t xml:space="preserve">We will use </w:t>
      </w:r>
      <w:r w:rsidR="00C22B22" w:rsidRPr="00C22B22">
        <w:rPr>
          <w:b/>
          <w:color w:val="000000"/>
          <w:lang w:eastAsia="ko-KR"/>
        </w:rPr>
        <w:t>R</w:t>
      </w:r>
      <w:r w:rsidR="00C22B22">
        <w:rPr>
          <w:color w:val="000000"/>
          <w:lang w:eastAsia="ko-KR"/>
        </w:rPr>
        <w:t>, a free software package suitable for data analysis and graphical representation. It is very flexible and highly customizable. Excellent graphic tools make R an ideal environment for data analysis. There are versions for Unix, Windows, and Mackintosh. All of them are free, and Window version is downloadable at:</w:t>
      </w:r>
    </w:p>
    <w:p w:rsidR="009A3266" w:rsidRDefault="00543958" w:rsidP="004B082A">
      <w:pPr>
        <w:autoSpaceDE w:val="0"/>
        <w:autoSpaceDN w:val="0"/>
        <w:adjustRightInd w:val="0"/>
      </w:pPr>
      <w:hyperlink r:id="rId10" w:history="1">
        <w:r w:rsidR="004B082A" w:rsidRPr="00BB0678">
          <w:rPr>
            <w:rStyle w:val="Hyperlink"/>
            <w:lang w:eastAsia="ko-KR"/>
          </w:rPr>
          <w:t>http://www.r-project.org</w:t>
        </w:r>
      </w:hyperlink>
    </w:p>
    <w:p w:rsidR="00224009" w:rsidRPr="000911D9" w:rsidRDefault="00224009" w:rsidP="004B082A">
      <w:pPr>
        <w:autoSpaceDE w:val="0"/>
        <w:autoSpaceDN w:val="0"/>
        <w:adjustRightInd w:val="0"/>
        <w:rPr>
          <w:sz w:val="16"/>
          <w:szCs w:val="16"/>
        </w:rPr>
      </w:pPr>
    </w:p>
    <w:p w:rsidR="00B927A8" w:rsidRDefault="00377834" w:rsidP="004B082A">
      <w:pPr>
        <w:autoSpaceDE w:val="0"/>
        <w:autoSpaceDN w:val="0"/>
        <w:adjustRightInd w:val="0"/>
      </w:pPr>
      <w:r>
        <w:rPr>
          <w:b/>
        </w:rPr>
        <w:t>Unannounced</w:t>
      </w:r>
      <w:r w:rsidR="0019415F" w:rsidRPr="0019415F">
        <w:rPr>
          <w:b/>
        </w:rPr>
        <w:t xml:space="preserve"> Quiz</w:t>
      </w:r>
      <w:r w:rsidR="00EB7CF8">
        <w:rPr>
          <w:b/>
        </w:rPr>
        <w:t>zes</w:t>
      </w:r>
      <w:r w:rsidR="00B927A8" w:rsidRPr="00FC5F2C">
        <w:rPr>
          <w:b/>
        </w:rPr>
        <w:t>:</w:t>
      </w:r>
      <w:r w:rsidR="00B927A8">
        <w:t xml:space="preserve"> </w:t>
      </w:r>
      <w:r w:rsidR="0019415F">
        <w:t>A</w:t>
      </w:r>
      <w:r w:rsidR="00A24A8A">
        <w:t>n</w:t>
      </w:r>
      <w:r w:rsidR="0019415F">
        <w:t xml:space="preserve"> </w:t>
      </w:r>
      <w:r w:rsidR="00A24A8A">
        <w:t>unannounced</w:t>
      </w:r>
      <w:r w:rsidR="0019415F">
        <w:t xml:space="preserve"> quiz</w:t>
      </w:r>
      <w:r w:rsidR="00CD26A6">
        <w:t xml:space="preserve"> will </w:t>
      </w:r>
      <w:r w:rsidR="00F96445">
        <w:t>be given at the end of class</w:t>
      </w:r>
      <w:r w:rsidR="00CD26A6">
        <w:t xml:space="preserve">. This </w:t>
      </w:r>
      <w:r w:rsidR="0019415F">
        <w:t>quiz</w:t>
      </w:r>
      <w:r w:rsidR="00CD26A6">
        <w:t xml:space="preserve"> will consist of </w:t>
      </w:r>
      <w:r w:rsidR="00F96445">
        <w:t xml:space="preserve">similar questions from </w:t>
      </w:r>
      <w:r w:rsidR="00CD26A6">
        <w:t xml:space="preserve">examples </w:t>
      </w:r>
      <w:r w:rsidR="000A3DE7">
        <w:t>in</w:t>
      </w:r>
      <w:r w:rsidR="00CD26A6">
        <w:t xml:space="preserve"> </w:t>
      </w:r>
      <w:r w:rsidR="009A3266">
        <w:t>the</w:t>
      </w:r>
      <w:r w:rsidR="00CD26A6">
        <w:t xml:space="preserve"> </w:t>
      </w:r>
      <w:r w:rsidR="00A24A8A">
        <w:t>previous class</w:t>
      </w:r>
      <w:r w:rsidR="00CD26A6">
        <w:t xml:space="preserve">, examples and exercises from </w:t>
      </w:r>
      <w:r>
        <w:t>the</w:t>
      </w:r>
      <w:r w:rsidR="00CD26A6">
        <w:t xml:space="preserve"> textbook</w:t>
      </w:r>
      <w:r w:rsidR="00184979">
        <w:t>s</w:t>
      </w:r>
      <w:r w:rsidR="005A41DD">
        <w:t xml:space="preserve"> and </w:t>
      </w:r>
      <w:r w:rsidR="00A24A8A">
        <w:t xml:space="preserve">be counted as </w:t>
      </w:r>
      <w:r w:rsidR="006961CB">
        <w:t xml:space="preserve">a </w:t>
      </w:r>
      <w:r w:rsidR="00A24A8A">
        <w:t>bonus to each test</w:t>
      </w:r>
      <w:r w:rsidR="004B082A">
        <w:t xml:space="preserve">. </w:t>
      </w:r>
    </w:p>
    <w:p w:rsidR="00C93D6E" w:rsidRPr="000911D9" w:rsidRDefault="00C93D6E">
      <w:pPr>
        <w:rPr>
          <w:sz w:val="16"/>
          <w:szCs w:val="16"/>
        </w:rPr>
      </w:pPr>
    </w:p>
    <w:p w:rsidR="00C72F6A" w:rsidRDefault="00AF14E3">
      <w:r w:rsidRPr="00C93D6E">
        <w:rPr>
          <w:b/>
        </w:rPr>
        <w:t>Exams and Grade Policy</w:t>
      </w:r>
      <w:r w:rsidR="0031301D" w:rsidRPr="00FC5F2C">
        <w:rPr>
          <w:b/>
        </w:rPr>
        <w:t>:</w:t>
      </w:r>
      <w:r w:rsidR="0031301D">
        <w:t xml:space="preserve"> </w:t>
      </w:r>
    </w:p>
    <w:p w:rsidR="00C72F6A" w:rsidRDefault="00A24A8A" w:rsidP="00C72F6A">
      <w:r>
        <w:t>Assignment</w:t>
      </w:r>
      <w:r w:rsidR="00EB7CF8">
        <w:t>s</w:t>
      </w:r>
      <w:r>
        <w:t xml:space="preserve">: </w:t>
      </w:r>
      <w:r w:rsidR="005A41DD">
        <w:t>2</w:t>
      </w:r>
      <w:r>
        <w:t>0%</w:t>
      </w:r>
    </w:p>
    <w:p w:rsidR="00C72F6A" w:rsidRDefault="00C72F6A" w:rsidP="00C72F6A">
      <w:r>
        <w:t>Midterm</w:t>
      </w:r>
      <w:r w:rsidR="00EB7CF8">
        <w:t xml:space="preserve"> E</w:t>
      </w:r>
      <w:r w:rsidR="0045229C">
        <w:t>xam</w:t>
      </w:r>
      <w:r>
        <w:t xml:space="preserve"> </w:t>
      </w:r>
      <w:r w:rsidR="007215A0">
        <w:t>#</w:t>
      </w:r>
      <w:r>
        <w:t>1</w:t>
      </w:r>
      <w:r w:rsidR="00A24A8A">
        <w:t>:</w:t>
      </w:r>
      <w:r>
        <w:t xml:space="preserve"> 2</w:t>
      </w:r>
      <w:r w:rsidR="00F14D33">
        <w:t>0</w:t>
      </w:r>
      <w:r w:rsidR="00A24A8A">
        <w:t>%</w:t>
      </w:r>
    </w:p>
    <w:p w:rsidR="00C72F6A" w:rsidRDefault="00C72F6A" w:rsidP="00C72F6A">
      <w:r>
        <w:t xml:space="preserve">Midterm </w:t>
      </w:r>
      <w:r w:rsidR="00EB7CF8">
        <w:t>E</w:t>
      </w:r>
      <w:r w:rsidR="0045229C">
        <w:t xml:space="preserve">xam </w:t>
      </w:r>
      <w:r w:rsidR="007215A0">
        <w:t>#</w:t>
      </w:r>
      <w:r>
        <w:t>2</w:t>
      </w:r>
      <w:r w:rsidR="00A24A8A">
        <w:t>:</w:t>
      </w:r>
      <w:r>
        <w:t xml:space="preserve"> 2</w:t>
      </w:r>
      <w:r w:rsidR="00F14D33">
        <w:t>0</w:t>
      </w:r>
      <w:r w:rsidR="00A24A8A">
        <w:t>%</w:t>
      </w:r>
    </w:p>
    <w:p w:rsidR="00C72F6A" w:rsidRDefault="00C72F6A" w:rsidP="00C72F6A">
      <w:r>
        <w:t xml:space="preserve">Comprehensive </w:t>
      </w:r>
      <w:r w:rsidR="00EB7CF8">
        <w:t>F</w:t>
      </w:r>
      <w:r>
        <w:t>inal</w:t>
      </w:r>
      <w:r w:rsidR="00EB7CF8">
        <w:t xml:space="preserve"> E</w:t>
      </w:r>
      <w:r w:rsidR="0045229C">
        <w:t>xam</w:t>
      </w:r>
      <w:r w:rsidR="00A24A8A">
        <w:t>:</w:t>
      </w:r>
      <w:r>
        <w:t xml:space="preserve"> </w:t>
      </w:r>
      <w:r w:rsidR="00F14D33">
        <w:t>4</w:t>
      </w:r>
      <w:r w:rsidR="00A24A8A">
        <w:t>0%</w:t>
      </w:r>
    </w:p>
    <w:p w:rsidR="00EB7CF8" w:rsidRDefault="00EB7CF8" w:rsidP="00C72F6A">
      <w:r>
        <w:t>Attendance &amp; Class Participation</w:t>
      </w:r>
      <w:r w:rsidRPr="00EB7CF8">
        <w:rPr>
          <w:color w:val="FF0000"/>
        </w:rPr>
        <w:t>**</w:t>
      </w:r>
      <w:r>
        <w:t>: 10%</w:t>
      </w:r>
    </w:p>
    <w:p w:rsidR="00B075E6" w:rsidRPr="00B075E6" w:rsidRDefault="00B075E6">
      <w:pPr>
        <w:rPr>
          <w:sz w:val="16"/>
          <w:szCs w:val="16"/>
        </w:rPr>
      </w:pPr>
    </w:p>
    <w:p w:rsidR="00D001B2" w:rsidRDefault="00BA6E5C">
      <w:r>
        <w:t>The following grades are guara</w:t>
      </w:r>
      <w:r w:rsidR="0031301D">
        <w:t xml:space="preserve">nteed: </w:t>
      </w:r>
      <w:r w:rsidR="0031301D" w:rsidRPr="00EF7333">
        <w:rPr>
          <w:b/>
        </w:rPr>
        <w:t>A</w:t>
      </w:r>
      <w:r w:rsidR="00EF7333">
        <w:t>(</w:t>
      </w:r>
      <w:r w:rsidR="006C7E88">
        <w:t>≥ 94%</w:t>
      </w:r>
      <w:r w:rsidR="0031301D">
        <w:t>)</w:t>
      </w:r>
      <w:r w:rsidR="006C7E88">
        <w:t xml:space="preserve">, </w:t>
      </w:r>
      <w:r w:rsidR="006C7E88" w:rsidRPr="006C7E88">
        <w:rPr>
          <w:b/>
        </w:rPr>
        <w:t>A-</w:t>
      </w:r>
      <w:r w:rsidR="006C7E88">
        <w:t>(94% &gt; A- ≥ 90%),</w:t>
      </w:r>
      <w:r w:rsidR="0031301D">
        <w:t xml:space="preserve"> </w:t>
      </w:r>
      <w:r w:rsidRPr="00EF7333">
        <w:rPr>
          <w:b/>
        </w:rPr>
        <w:t>B</w:t>
      </w:r>
      <w:r w:rsidR="006C7E88">
        <w:rPr>
          <w:b/>
        </w:rPr>
        <w:t>+</w:t>
      </w:r>
      <w:r>
        <w:t>(</w:t>
      </w:r>
      <w:r w:rsidR="00EF7333">
        <w:t>90%</w:t>
      </w:r>
      <w:r w:rsidR="006C7E88">
        <w:t xml:space="preserve"> &gt; B+ ≥ 87%), </w:t>
      </w:r>
      <w:r w:rsidR="006C7E88" w:rsidRPr="006C7E88">
        <w:rPr>
          <w:b/>
        </w:rPr>
        <w:t>B</w:t>
      </w:r>
      <w:r w:rsidR="006C7E88">
        <w:t xml:space="preserve">(87% &gt; B ≥ 84%), </w:t>
      </w:r>
      <w:r w:rsidR="006C7E88" w:rsidRPr="006C7E88">
        <w:rPr>
          <w:b/>
        </w:rPr>
        <w:t>B-</w:t>
      </w:r>
      <w:r w:rsidR="006C7E88">
        <w:t>(84% &gt; B- ≥ 80%),</w:t>
      </w:r>
      <w:r w:rsidR="0031301D">
        <w:t xml:space="preserve"> </w:t>
      </w:r>
      <w:r w:rsidR="0031301D" w:rsidRPr="00EF7333">
        <w:rPr>
          <w:b/>
        </w:rPr>
        <w:t>C</w:t>
      </w:r>
      <w:r w:rsidR="006C7E88">
        <w:rPr>
          <w:b/>
        </w:rPr>
        <w:t>+</w:t>
      </w:r>
      <w:r w:rsidR="0019415F">
        <w:rPr>
          <w:b/>
        </w:rPr>
        <w:t xml:space="preserve"> </w:t>
      </w:r>
      <w:r w:rsidR="00EF7333">
        <w:t>(</w:t>
      </w:r>
      <w:r w:rsidR="006C7E88">
        <w:t xml:space="preserve">80% &gt; C+ ≥ 77%), </w:t>
      </w:r>
      <w:r w:rsidR="00EF7333">
        <w:t xml:space="preserve"> </w:t>
      </w:r>
      <w:r w:rsidR="006C7E88" w:rsidRPr="006C7E88">
        <w:rPr>
          <w:b/>
        </w:rPr>
        <w:t>C</w:t>
      </w:r>
      <w:r w:rsidR="006C7E88">
        <w:t xml:space="preserve">(77% &gt; C ≥ 74%), </w:t>
      </w:r>
      <w:r w:rsidR="00F46DE0" w:rsidRPr="00F46DE0">
        <w:rPr>
          <w:b/>
        </w:rPr>
        <w:t>C-</w:t>
      </w:r>
      <w:r w:rsidR="00F46DE0">
        <w:t xml:space="preserve">(74% &gt; C- ≥ 70%), </w:t>
      </w:r>
      <w:r w:rsidR="0031301D">
        <w:t xml:space="preserve"> </w:t>
      </w:r>
      <w:r w:rsidR="0031301D" w:rsidRPr="00EF7333">
        <w:rPr>
          <w:b/>
        </w:rPr>
        <w:t>D</w:t>
      </w:r>
      <w:r w:rsidR="0031301D">
        <w:t>(</w:t>
      </w:r>
      <w:r w:rsidR="00EF7333">
        <w:t>70</w:t>
      </w:r>
      <w:r w:rsidR="0031301D">
        <w:t>%</w:t>
      </w:r>
      <w:r w:rsidR="00F46DE0">
        <w:t xml:space="preserve"> &gt; D ≥ 60%</w:t>
      </w:r>
      <w:r w:rsidR="0031301D">
        <w:t>)</w:t>
      </w:r>
      <w:r w:rsidR="00F46DE0">
        <w:t>, and</w:t>
      </w:r>
      <w:r w:rsidR="00EF7333">
        <w:t xml:space="preserve"> </w:t>
      </w:r>
      <w:r w:rsidRPr="00EF7333">
        <w:rPr>
          <w:b/>
        </w:rPr>
        <w:t xml:space="preserve">F </w:t>
      </w:r>
      <w:r w:rsidR="00F46DE0">
        <w:rPr>
          <w:b/>
        </w:rPr>
        <w:t>(&lt;</w:t>
      </w:r>
      <w:r>
        <w:t xml:space="preserve"> 60%)</w:t>
      </w:r>
      <w:r w:rsidR="00F96445">
        <w:t>.</w:t>
      </w:r>
      <w:r w:rsidR="00A17E61">
        <w:t xml:space="preserve"> </w:t>
      </w:r>
    </w:p>
    <w:p w:rsidR="00D001B2" w:rsidRPr="00184979" w:rsidRDefault="00D001B2">
      <w:pPr>
        <w:rPr>
          <w:sz w:val="16"/>
          <w:szCs w:val="16"/>
        </w:rPr>
      </w:pPr>
    </w:p>
    <w:p w:rsidR="00D001B2" w:rsidRDefault="00D001B2" w:rsidP="00D001B2">
      <w:r w:rsidRPr="00EB7CF8">
        <w:rPr>
          <w:color w:val="FF0000"/>
        </w:rPr>
        <w:t>*</w:t>
      </w:r>
      <w:r>
        <w:t>If any student</w:t>
      </w:r>
      <w:r w:rsidR="00184979">
        <w:t>(s) is being caught with</w:t>
      </w:r>
      <w:r>
        <w:t xml:space="preserve"> putting a smart phone, ipad, or a notebook </w:t>
      </w:r>
      <w:r w:rsidR="009F1F29">
        <w:t xml:space="preserve">computer </w:t>
      </w:r>
      <w:r>
        <w:t>on the desk,</w:t>
      </w:r>
      <w:r w:rsidR="00184979">
        <w:t xml:space="preserve"> or chatting with classmates in class,</w:t>
      </w:r>
      <w:r>
        <w:t xml:space="preserve"> </w:t>
      </w:r>
      <w:r w:rsidR="004C2A04">
        <w:t>two</w:t>
      </w:r>
      <w:r>
        <w:t xml:space="preserve"> point</w:t>
      </w:r>
      <w:r w:rsidR="005A41DD">
        <w:t>s</w:t>
      </w:r>
      <w:r>
        <w:t xml:space="preserve"> will be deducted from the</w:t>
      </w:r>
      <w:r w:rsidR="005A41DD">
        <w:t xml:space="preserve"> test</w:t>
      </w:r>
      <w:r>
        <w:t>.</w:t>
      </w:r>
    </w:p>
    <w:p w:rsidR="00EB7CF8" w:rsidRDefault="00EB7CF8" w:rsidP="00D001B2"/>
    <w:p w:rsidR="00EB7CF8" w:rsidRDefault="00EB7CF8" w:rsidP="00D001B2">
      <w:r w:rsidRPr="00EB7CF8">
        <w:rPr>
          <w:color w:val="FF0000"/>
        </w:rPr>
        <w:t>**</w:t>
      </w:r>
      <w:r>
        <w:t>Your class attendance and participation is highly encouraged in class</w:t>
      </w:r>
      <w:r w:rsidR="00FE7D8B">
        <w:t xml:space="preserve"> and is </w:t>
      </w:r>
      <w:r w:rsidR="00FE7D8B" w:rsidRPr="00FE7D8B">
        <w:t>very critical to your grade for the course.</w:t>
      </w:r>
      <w:r w:rsidR="00FE7D8B">
        <w:t xml:space="preserve"> </w:t>
      </w:r>
      <w:r>
        <w:t xml:space="preserve">If you miss more than four classes over the semester, you would </w:t>
      </w:r>
      <w:r w:rsidR="00A931A9">
        <w:t>‘</w:t>
      </w:r>
      <w:r w:rsidRPr="00A931A9">
        <w:rPr>
          <w:i/>
        </w:rPr>
        <w:t>not</w:t>
      </w:r>
      <w:r w:rsidR="00A931A9">
        <w:t>’</w:t>
      </w:r>
      <w:r>
        <w:t xml:space="preserve"> get any point </w:t>
      </w:r>
      <w:r w:rsidR="00A931A9">
        <w:t>in attendance and class participation.</w:t>
      </w:r>
    </w:p>
    <w:p w:rsidR="00F96445" w:rsidRPr="00184979" w:rsidRDefault="00F96445">
      <w:pPr>
        <w:rPr>
          <w:sz w:val="16"/>
          <w:szCs w:val="16"/>
        </w:rPr>
      </w:pPr>
    </w:p>
    <w:p w:rsidR="004B082A" w:rsidRDefault="004B082A">
      <w:r w:rsidRPr="00743F67">
        <w:rPr>
          <w:b/>
        </w:rPr>
        <w:t xml:space="preserve">Make-up Quiz </w:t>
      </w:r>
      <w:r w:rsidR="002269F1">
        <w:rPr>
          <w:b/>
        </w:rPr>
        <w:t>or Make-up</w:t>
      </w:r>
      <w:r w:rsidRPr="00743F67">
        <w:rPr>
          <w:b/>
        </w:rPr>
        <w:t xml:space="preserve"> Exam</w:t>
      </w:r>
      <w:r w:rsidRPr="00FC5F2C">
        <w:rPr>
          <w:b/>
        </w:rPr>
        <w:t>:</w:t>
      </w:r>
      <w:r>
        <w:t xml:space="preserve"> There is </w:t>
      </w:r>
      <w:r w:rsidR="009A3266">
        <w:t>“</w:t>
      </w:r>
      <w:r w:rsidRPr="009A3266">
        <w:rPr>
          <w:i/>
        </w:rPr>
        <w:t>no</w:t>
      </w:r>
      <w:r w:rsidR="009A3266">
        <w:t>”</w:t>
      </w:r>
      <w:r>
        <w:t xml:space="preserve"> make-up quiz </w:t>
      </w:r>
      <w:r w:rsidR="009A3266">
        <w:t xml:space="preserve">regardless of the student’s situations – sickness, absence, </w:t>
      </w:r>
      <w:r w:rsidR="009F1F29">
        <w:t xml:space="preserve">family vacation </w:t>
      </w:r>
      <w:r w:rsidR="009A3266">
        <w:t xml:space="preserve">or other imaginable cases – because </w:t>
      </w:r>
      <w:r w:rsidR="000A3DE7">
        <w:t xml:space="preserve">two or </w:t>
      </w:r>
      <w:r w:rsidR="009A3266">
        <w:t xml:space="preserve">three lowest </w:t>
      </w:r>
      <w:r w:rsidR="000A3DE7">
        <w:t xml:space="preserve">quiz </w:t>
      </w:r>
      <w:r w:rsidR="009A3266">
        <w:t>scores will be dropped. There is also “</w:t>
      </w:r>
      <w:r w:rsidR="009A3266" w:rsidRPr="009A3266">
        <w:rPr>
          <w:i/>
        </w:rPr>
        <w:t>no</w:t>
      </w:r>
      <w:r w:rsidR="009A3266">
        <w:t>” make-up</w:t>
      </w:r>
      <w:r>
        <w:t xml:space="preserve"> exam</w:t>
      </w:r>
      <w:r w:rsidR="000A3DE7">
        <w:t>. If students miss the test for any reason</w:t>
      </w:r>
      <w:r w:rsidR="002D6271">
        <w:t>s, the comprehensive final exam will be counted twice.</w:t>
      </w:r>
    </w:p>
    <w:p w:rsidR="00743F67" w:rsidRPr="00184979" w:rsidRDefault="00743F67">
      <w:pPr>
        <w:rPr>
          <w:sz w:val="16"/>
          <w:szCs w:val="16"/>
        </w:rPr>
      </w:pPr>
    </w:p>
    <w:p w:rsidR="00B35539" w:rsidRDefault="00BA6E5C" w:rsidP="00B35539">
      <w:r w:rsidRPr="00BA6E5C">
        <w:rPr>
          <w:b/>
        </w:rPr>
        <w:t>Attendance Policy</w:t>
      </w:r>
      <w:r w:rsidRPr="00FC5F2C">
        <w:rPr>
          <w:b/>
        </w:rPr>
        <w:t>:</w:t>
      </w:r>
      <w:r>
        <w:t xml:space="preserve"> Attendance is </w:t>
      </w:r>
      <w:r w:rsidR="0031301D" w:rsidRPr="0031301D">
        <w:rPr>
          <w:i/>
        </w:rPr>
        <w:t>not</w:t>
      </w:r>
      <w:r w:rsidR="0031301D">
        <w:t xml:space="preserve"> </w:t>
      </w:r>
      <w:r w:rsidR="001C685A" w:rsidRPr="001C685A">
        <w:rPr>
          <w:i/>
        </w:rPr>
        <w:t>required</w:t>
      </w:r>
      <w:r w:rsidR="001C685A">
        <w:t>. I cannot emphasize enough the need for consistent attendance</w:t>
      </w:r>
      <w:r>
        <w:t>.</w:t>
      </w:r>
      <w:r w:rsidR="001C685A">
        <w:t xml:space="preserve"> Many materials will not be contained in the texts</w:t>
      </w:r>
      <w:r w:rsidR="0031301D">
        <w:t xml:space="preserve"> and also I will not follow the textbooks section by section</w:t>
      </w:r>
      <w:r w:rsidR="001C685A">
        <w:t xml:space="preserve">. If you do not attend </w:t>
      </w:r>
      <w:r w:rsidR="00184979">
        <w:t xml:space="preserve">a </w:t>
      </w:r>
      <w:r w:rsidR="001C685A">
        <w:t>class on a regular basis, it will affect your performance in the course</w:t>
      </w:r>
      <w:r w:rsidR="009A3266">
        <w:t xml:space="preserve"> and you should hold the responsibility for the materials you would miss because of absence</w:t>
      </w:r>
      <w:r w:rsidR="001C685A">
        <w:t>.</w:t>
      </w:r>
    </w:p>
    <w:p w:rsidR="007215A0" w:rsidRPr="007215A0" w:rsidRDefault="007215A0" w:rsidP="00B35539">
      <w:pPr>
        <w:rPr>
          <w:b/>
          <w:color w:val="0070C0"/>
        </w:rPr>
      </w:pPr>
      <w:r w:rsidRPr="007215A0">
        <w:rPr>
          <w:b/>
          <w:color w:val="0070C0"/>
        </w:rPr>
        <w:t xml:space="preserve">*If you miss a class more than </w:t>
      </w:r>
      <w:r w:rsidR="005A41DD">
        <w:rPr>
          <w:b/>
          <w:color w:val="0070C0"/>
        </w:rPr>
        <w:t>eight</w:t>
      </w:r>
      <w:r w:rsidRPr="007215A0">
        <w:rPr>
          <w:b/>
          <w:color w:val="0070C0"/>
        </w:rPr>
        <w:t xml:space="preserve"> times, automatic F will be given to you.</w:t>
      </w:r>
    </w:p>
    <w:p w:rsidR="00AD64DF" w:rsidRDefault="00AD64DF" w:rsidP="00B35539">
      <w:pPr>
        <w:rPr>
          <w:b/>
          <w:color w:val="FF0000"/>
        </w:rPr>
      </w:pPr>
      <w:r w:rsidRPr="00AD64DF">
        <w:rPr>
          <w:b/>
          <w:color w:val="FF0000"/>
        </w:rPr>
        <w:t xml:space="preserve">*Do not enter the classroom if you are late </w:t>
      </w:r>
      <w:r w:rsidR="00FE7D8B">
        <w:rPr>
          <w:b/>
          <w:color w:val="FF0000"/>
        </w:rPr>
        <w:t xml:space="preserve">to the class </w:t>
      </w:r>
      <w:r w:rsidRPr="00AD64DF">
        <w:rPr>
          <w:b/>
          <w:color w:val="FF0000"/>
        </w:rPr>
        <w:t>more than five minutes</w:t>
      </w:r>
      <w:r w:rsidR="00FE7D8B">
        <w:rPr>
          <w:b/>
          <w:color w:val="FF0000"/>
        </w:rPr>
        <w:t>.</w:t>
      </w:r>
      <w:r w:rsidRPr="00AD64DF">
        <w:rPr>
          <w:b/>
          <w:color w:val="FF0000"/>
        </w:rPr>
        <w:t xml:space="preserve"> Every time you enter the classroom</w:t>
      </w:r>
      <w:r w:rsidR="00B84B98">
        <w:rPr>
          <w:b/>
          <w:color w:val="FF0000"/>
        </w:rPr>
        <w:t xml:space="preserve"> five minutes late</w:t>
      </w:r>
      <w:r w:rsidRPr="00AD64DF">
        <w:rPr>
          <w:b/>
          <w:color w:val="FF0000"/>
        </w:rPr>
        <w:t xml:space="preserve">, five points will be deducted from your test. </w:t>
      </w:r>
    </w:p>
    <w:p w:rsidR="00B35539" w:rsidRDefault="00B35539" w:rsidP="00B35539">
      <w:pPr>
        <w:rPr>
          <w:sz w:val="16"/>
          <w:szCs w:val="16"/>
        </w:rPr>
      </w:pPr>
    </w:p>
    <w:p w:rsidR="00D879DC" w:rsidRDefault="00D879DC" w:rsidP="00D879DC">
      <w:r w:rsidRPr="00B35539">
        <w:rPr>
          <w:b/>
        </w:rPr>
        <w:t>Classroom Culture</w:t>
      </w:r>
      <w:r w:rsidRPr="00B35539">
        <w:t xml:space="preserve">: If you would rather be sleeping, reading the </w:t>
      </w:r>
      <w:r>
        <w:t>newspaper, listening to your ipo</w:t>
      </w:r>
      <w:r w:rsidRPr="00B35539">
        <w:t>d or shopping on the internet, I’d suggest that you do that somewhere much more comfortable than the classroom.</w:t>
      </w:r>
      <w:r>
        <w:t xml:space="preserve"> </w:t>
      </w:r>
      <w:r w:rsidRPr="00B35539">
        <w:t xml:space="preserve">Please make sure to bring a </w:t>
      </w:r>
      <w:r>
        <w:t xml:space="preserve">sharp and attentive mind </w:t>
      </w:r>
      <w:r w:rsidRPr="00B35539">
        <w:t>to class</w:t>
      </w:r>
      <w:r>
        <w:t xml:space="preserve"> as well as a printed lecture note posted on the Blackboard</w:t>
      </w:r>
      <w:r w:rsidRPr="00B35539">
        <w:t>.</w:t>
      </w:r>
    </w:p>
    <w:p w:rsidR="00D879DC" w:rsidRPr="002C69BD" w:rsidRDefault="00D879DC" w:rsidP="00D879DC">
      <w:pPr>
        <w:rPr>
          <w:b/>
          <w:u w:val="single"/>
        </w:rPr>
      </w:pPr>
      <w:r w:rsidRPr="002C69BD">
        <w:rPr>
          <w:b/>
          <w:u w:val="single"/>
        </w:rPr>
        <w:lastRenderedPageBreak/>
        <w:t xml:space="preserve">Important Dates for </w:t>
      </w:r>
      <w:r w:rsidR="004357BE">
        <w:rPr>
          <w:b/>
          <w:u w:val="single"/>
        </w:rPr>
        <w:t>Fall</w:t>
      </w:r>
      <w:r w:rsidRPr="002C69BD">
        <w:rPr>
          <w:b/>
          <w:u w:val="single"/>
        </w:rPr>
        <w:t xml:space="preserve"> 201</w:t>
      </w:r>
      <w:r w:rsidR="0045229C" w:rsidRPr="002C69BD">
        <w:rPr>
          <w:b/>
          <w:u w:val="single"/>
        </w:rPr>
        <w:t>7</w:t>
      </w:r>
      <w:r w:rsidRPr="002C69BD">
        <w:rPr>
          <w:b/>
          <w:u w:val="single"/>
        </w:rPr>
        <w:t xml:space="preserve"> </w:t>
      </w:r>
    </w:p>
    <w:p w:rsidR="00D879DC" w:rsidRPr="00333716" w:rsidRDefault="009306CC" w:rsidP="00D879DC">
      <w:pPr>
        <w:rPr>
          <w:b/>
        </w:rPr>
      </w:pPr>
      <w:r>
        <w:rPr>
          <w:b/>
        </w:rPr>
        <w:t>Midterm Exam</w:t>
      </w:r>
      <w:r w:rsidR="00D879DC" w:rsidRPr="00333716">
        <w:rPr>
          <w:b/>
        </w:rPr>
        <w:t xml:space="preserve"> </w:t>
      </w:r>
      <w:r>
        <w:rPr>
          <w:b/>
        </w:rPr>
        <w:t>#</w:t>
      </w:r>
      <w:r w:rsidR="00D879DC" w:rsidRPr="00333716">
        <w:rPr>
          <w:b/>
        </w:rPr>
        <w:t xml:space="preserve">1 on </w:t>
      </w:r>
      <w:r>
        <w:rPr>
          <w:b/>
        </w:rPr>
        <w:t>October</w:t>
      </w:r>
      <w:r w:rsidR="00D879DC" w:rsidRPr="00333716">
        <w:rPr>
          <w:b/>
        </w:rPr>
        <w:t xml:space="preserve"> </w:t>
      </w:r>
      <w:r>
        <w:rPr>
          <w:b/>
        </w:rPr>
        <w:t>5</w:t>
      </w:r>
      <w:r w:rsidRPr="009306CC">
        <w:rPr>
          <w:b/>
          <w:vertAlign w:val="superscript"/>
        </w:rPr>
        <w:t>th</w:t>
      </w:r>
      <w:r>
        <w:rPr>
          <w:b/>
        </w:rPr>
        <w:t xml:space="preserve"> </w:t>
      </w:r>
      <w:r w:rsidR="00D879DC" w:rsidRPr="00333716">
        <w:rPr>
          <w:b/>
        </w:rPr>
        <w:t>(</w:t>
      </w:r>
      <w:r>
        <w:rPr>
          <w:b/>
        </w:rPr>
        <w:t>Thurs</w:t>
      </w:r>
      <w:r w:rsidR="00D879DC" w:rsidRPr="00333716">
        <w:rPr>
          <w:b/>
        </w:rPr>
        <w:t>day)</w:t>
      </w:r>
    </w:p>
    <w:p w:rsidR="0045229C" w:rsidRPr="002C69BD" w:rsidRDefault="002C69BD" w:rsidP="00D879DC">
      <w:pPr>
        <w:rPr>
          <w:b/>
          <w:color w:val="FF0000"/>
        </w:rPr>
      </w:pPr>
      <w:r>
        <w:rPr>
          <w:b/>
          <w:color w:val="FF0000"/>
        </w:rPr>
        <w:t>*</w:t>
      </w:r>
      <w:r w:rsidR="009306CC">
        <w:rPr>
          <w:b/>
          <w:color w:val="FF0000"/>
        </w:rPr>
        <w:t>Fall break from October 9</w:t>
      </w:r>
      <w:r w:rsidR="009306CC" w:rsidRPr="009306CC">
        <w:rPr>
          <w:b/>
          <w:color w:val="FF0000"/>
          <w:vertAlign w:val="superscript"/>
        </w:rPr>
        <w:t>th</w:t>
      </w:r>
      <w:r w:rsidR="009306CC">
        <w:rPr>
          <w:b/>
          <w:color w:val="FF0000"/>
        </w:rPr>
        <w:t xml:space="preserve"> to October 10</w:t>
      </w:r>
      <w:r w:rsidR="009306CC" w:rsidRPr="009306CC">
        <w:rPr>
          <w:b/>
          <w:color w:val="FF0000"/>
          <w:vertAlign w:val="superscript"/>
        </w:rPr>
        <w:t>th</w:t>
      </w:r>
      <w:r w:rsidR="009306CC">
        <w:rPr>
          <w:b/>
          <w:color w:val="FF0000"/>
        </w:rPr>
        <w:t xml:space="preserve">: </w:t>
      </w:r>
      <w:r w:rsidR="0045229C" w:rsidRPr="002C69BD">
        <w:rPr>
          <w:b/>
          <w:color w:val="FF0000"/>
        </w:rPr>
        <w:t>No class</w:t>
      </w:r>
      <w:r w:rsidR="009306CC">
        <w:rPr>
          <w:b/>
          <w:color w:val="FF0000"/>
        </w:rPr>
        <w:t>es</w:t>
      </w:r>
    </w:p>
    <w:p w:rsidR="00D879DC" w:rsidRDefault="009306CC" w:rsidP="00D879DC">
      <w:pPr>
        <w:rPr>
          <w:b/>
        </w:rPr>
      </w:pPr>
      <w:r>
        <w:rPr>
          <w:b/>
        </w:rPr>
        <w:t>Midterm Exam #</w:t>
      </w:r>
      <w:r w:rsidR="00D879DC" w:rsidRPr="00333716">
        <w:rPr>
          <w:b/>
        </w:rPr>
        <w:t xml:space="preserve">2 on </w:t>
      </w:r>
      <w:r>
        <w:rPr>
          <w:b/>
        </w:rPr>
        <w:t>November</w:t>
      </w:r>
      <w:r w:rsidR="00D879DC" w:rsidRPr="00333716">
        <w:rPr>
          <w:b/>
        </w:rPr>
        <w:t xml:space="preserve"> </w:t>
      </w:r>
      <w:r>
        <w:rPr>
          <w:b/>
        </w:rPr>
        <w:t>16</w:t>
      </w:r>
      <w:r w:rsidR="00D879DC" w:rsidRPr="00333716">
        <w:rPr>
          <w:b/>
          <w:vertAlign w:val="superscript"/>
        </w:rPr>
        <w:t>th</w:t>
      </w:r>
      <w:r w:rsidR="00D879DC" w:rsidRPr="00333716">
        <w:rPr>
          <w:b/>
        </w:rPr>
        <w:t xml:space="preserve"> (</w:t>
      </w:r>
      <w:r>
        <w:rPr>
          <w:b/>
        </w:rPr>
        <w:t>Thurs</w:t>
      </w:r>
      <w:r w:rsidR="00D879DC" w:rsidRPr="00333716">
        <w:rPr>
          <w:b/>
        </w:rPr>
        <w:t>day)</w:t>
      </w:r>
    </w:p>
    <w:p w:rsidR="009306CC" w:rsidRPr="00333716" w:rsidRDefault="009306CC" w:rsidP="009306CC">
      <w:pPr>
        <w:rPr>
          <w:b/>
          <w:color w:val="0070C0"/>
        </w:rPr>
      </w:pPr>
      <w:r>
        <w:rPr>
          <w:b/>
          <w:color w:val="0070C0"/>
        </w:rPr>
        <w:t>*Thanksgiving Break f</w:t>
      </w:r>
      <w:r w:rsidRPr="00333716">
        <w:rPr>
          <w:b/>
          <w:color w:val="0070C0"/>
        </w:rPr>
        <w:t xml:space="preserve">rom </w:t>
      </w:r>
      <w:r>
        <w:rPr>
          <w:b/>
          <w:color w:val="0070C0"/>
        </w:rPr>
        <w:t>November 22</w:t>
      </w:r>
      <w:r w:rsidRPr="009306CC">
        <w:rPr>
          <w:b/>
          <w:color w:val="0070C0"/>
          <w:vertAlign w:val="superscript"/>
        </w:rPr>
        <w:t>nd</w:t>
      </w:r>
      <w:r>
        <w:rPr>
          <w:b/>
          <w:color w:val="0070C0"/>
        </w:rPr>
        <w:t xml:space="preserve"> </w:t>
      </w:r>
      <w:r w:rsidRPr="00333716">
        <w:rPr>
          <w:b/>
          <w:color w:val="0070C0"/>
        </w:rPr>
        <w:t xml:space="preserve">to </w:t>
      </w:r>
      <w:r>
        <w:rPr>
          <w:b/>
          <w:color w:val="0070C0"/>
        </w:rPr>
        <w:t>November 24</w:t>
      </w:r>
      <w:r w:rsidRPr="009306CC">
        <w:rPr>
          <w:b/>
          <w:color w:val="0070C0"/>
          <w:vertAlign w:val="superscript"/>
        </w:rPr>
        <w:t>th</w:t>
      </w:r>
      <w:r w:rsidRPr="00333716">
        <w:rPr>
          <w:b/>
          <w:color w:val="0070C0"/>
        </w:rPr>
        <w:t>: No classes</w:t>
      </w:r>
    </w:p>
    <w:p w:rsidR="00D879DC" w:rsidRPr="00333716" w:rsidRDefault="00D879DC" w:rsidP="00D879DC">
      <w:pPr>
        <w:rPr>
          <w:b/>
        </w:rPr>
      </w:pPr>
      <w:r w:rsidRPr="00333716">
        <w:rPr>
          <w:b/>
        </w:rPr>
        <w:t xml:space="preserve">Final Exam: </w:t>
      </w:r>
      <w:r w:rsidR="004D0761">
        <w:rPr>
          <w:b/>
        </w:rPr>
        <w:t>December 13</w:t>
      </w:r>
      <w:r w:rsidRPr="00333716">
        <w:rPr>
          <w:b/>
          <w:vertAlign w:val="superscript"/>
        </w:rPr>
        <w:t>th</w:t>
      </w:r>
      <w:r w:rsidRPr="00333716">
        <w:rPr>
          <w:b/>
        </w:rPr>
        <w:t xml:space="preserve"> (</w:t>
      </w:r>
      <w:r w:rsidR="004D0761">
        <w:rPr>
          <w:b/>
        </w:rPr>
        <w:t>Wednes</w:t>
      </w:r>
      <w:r w:rsidRPr="00333716">
        <w:rPr>
          <w:b/>
        </w:rPr>
        <w:t xml:space="preserve">day) from </w:t>
      </w:r>
      <w:r w:rsidR="004D0761">
        <w:rPr>
          <w:b/>
        </w:rPr>
        <w:t>8</w:t>
      </w:r>
      <w:r w:rsidRPr="00333716">
        <w:rPr>
          <w:b/>
        </w:rPr>
        <w:t>:</w:t>
      </w:r>
      <w:r w:rsidR="002C69BD" w:rsidRPr="00333716">
        <w:rPr>
          <w:b/>
        </w:rPr>
        <w:t>0</w:t>
      </w:r>
      <w:r w:rsidRPr="00333716">
        <w:rPr>
          <w:b/>
        </w:rPr>
        <w:t xml:space="preserve">0 </w:t>
      </w:r>
      <w:r w:rsidR="004D0761">
        <w:rPr>
          <w:b/>
        </w:rPr>
        <w:t>AM</w:t>
      </w:r>
      <w:r w:rsidRPr="00333716">
        <w:rPr>
          <w:b/>
        </w:rPr>
        <w:t xml:space="preserve"> to </w:t>
      </w:r>
      <w:r w:rsidR="004D0761">
        <w:rPr>
          <w:b/>
        </w:rPr>
        <w:t>10</w:t>
      </w:r>
      <w:r w:rsidRPr="00333716">
        <w:rPr>
          <w:b/>
        </w:rPr>
        <w:t xml:space="preserve">:30 </w:t>
      </w:r>
      <w:r w:rsidR="004D0761">
        <w:rPr>
          <w:b/>
        </w:rPr>
        <w:t>AM</w:t>
      </w:r>
    </w:p>
    <w:p w:rsidR="00981A48" w:rsidRPr="00D02F21" w:rsidRDefault="00981A48" w:rsidP="00981A48">
      <w:pPr>
        <w:rPr>
          <w:sz w:val="16"/>
          <w:szCs w:val="16"/>
        </w:rPr>
      </w:pPr>
    </w:p>
    <w:p w:rsidR="00BA6E5C" w:rsidRDefault="00B40A90" w:rsidP="00CD26A6">
      <w:pPr>
        <w:rPr>
          <w:b/>
        </w:rPr>
      </w:pPr>
      <w:r w:rsidRPr="00B40A90">
        <w:rPr>
          <w:b/>
        </w:rPr>
        <w:t xml:space="preserve">ECONOMICS 220: </w:t>
      </w:r>
      <w:r w:rsidR="00CD3D79">
        <w:rPr>
          <w:b/>
        </w:rPr>
        <w:t xml:space="preserve">Tentative Course </w:t>
      </w:r>
      <w:r w:rsidR="006C4B81">
        <w:rPr>
          <w:b/>
        </w:rPr>
        <w:t>Schedule</w:t>
      </w:r>
    </w:p>
    <w:tbl>
      <w:tblPr>
        <w:tblStyle w:val="TableGrid"/>
        <w:tblW w:w="0" w:type="auto"/>
        <w:tblLook w:val="04A0" w:firstRow="1" w:lastRow="0" w:firstColumn="1" w:lastColumn="0" w:noHBand="0" w:noVBand="1"/>
      </w:tblPr>
      <w:tblGrid>
        <w:gridCol w:w="1188"/>
        <w:gridCol w:w="3600"/>
        <w:gridCol w:w="2340"/>
        <w:gridCol w:w="1728"/>
      </w:tblGrid>
      <w:tr w:rsidR="00106B96" w:rsidTr="009B30C2">
        <w:tc>
          <w:tcPr>
            <w:tcW w:w="1188" w:type="dxa"/>
          </w:tcPr>
          <w:p w:rsidR="00106B96" w:rsidRDefault="00106B96" w:rsidP="009B30C2">
            <w:pPr>
              <w:jc w:val="center"/>
              <w:rPr>
                <w:b/>
              </w:rPr>
            </w:pPr>
            <w:r>
              <w:rPr>
                <w:b/>
              </w:rPr>
              <w:t>Week</w:t>
            </w:r>
          </w:p>
        </w:tc>
        <w:tc>
          <w:tcPr>
            <w:tcW w:w="3600" w:type="dxa"/>
          </w:tcPr>
          <w:p w:rsidR="00106B96" w:rsidRDefault="00106B96" w:rsidP="009B30C2">
            <w:pPr>
              <w:jc w:val="center"/>
              <w:rPr>
                <w:b/>
              </w:rPr>
            </w:pPr>
            <w:r>
              <w:rPr>
                <w:b/>
              </w:rPr>
              <w:t>Topic</w:t>
            </w:r>
          </w:p>
        </w:tc>
        <w:tc>
          <w:tcPr>
            <w:tcW w:w="2340" w:type="dxa"/>
          </w:tcPr>
          <w:p w:rsidR="00106B96" w:rsidRDefault="00106B96" w:rsidP="009B30C2">
            <w:pPr>
              <w:jc w:val="center"/>
              <w:rPr>
                <w:b/>
              </w:rPr>
            </w:pPr>
            <w:r>
              <w:rPr>
                <w:b/>
              </w:rPr>
              <w:t>Textbook</w:t>
            </w:r>
          </w:p>
        </w:tc>
        <w:tc>
          <w:tcPr>
            <w:tcW w:w="1728" w:type="dxa"/>
          </w:tcPr>
          <w:p w:rsidR="00106B96" w:rsidRDefault="00106B96" w:rsidP="009B30C2">
            <w:pPr>
              <w:jc w:val="center"/>
              <w:rPr>
                <w:b/>
              </w:rPr>
            </w:pPr>
            <w:r>
              <w:rPr>
                <w:b/>
              </w:rPr>
              <w:t>Lecture Note</w:t>
            </w:r>
          </w:p>
        </w:tc>
      </w:tr>
      <w:tr w:rsidR="00106B96" w:rsidRPr="009D50B7" w:rsidTr="009B30C2">
        <w:tc>
          <w:tcPr>
            <w:tcW w:w="1188" w:type="dxa"/>
          </w:tcPr>
          <w:p w:rsidR="00106B96" w:rsidRPr="009D50B7" w:rsidRDefault="00106B96" w:rsidP="009B30C2">
            <w:r w:rsidRPr="009D50B7">
              <w:t xml:space="preserve">Week 1 </w:t>
            </w:r>
          </w:p>
        </w:tc>
        <w:tc>
          <w:tcPr>
            <w:tcW w:w="3600" w:type="dxa"/>
          </w:tcPr>
          <w:p w:rsidR="00106B96" w:rsidRPr="009D50B7" w:rsidRDefault="00106B96" w:rsidP="009B30C2">
            <w:r>
              <w:t>Basic concepts: Descriptive statistics</w:t>
            </w:r>
          </w:p>
        </w:tc>
        <w:tc>
          <w:tcPr>
            <w:tcW w:w="2340" w:type="dxa"/>
          </w:tcPr>
          <w:p w:rsidR="00106B96" w:rsidRPr="009D50B7" w:rsidRDefault="00106B96" w:rsidP="009B30C2">
            <w:r>
              <w:t>Chap. 1 (SS)</w:t>
            </w:r>
          </w:p>
        </w:tc>
        <w:tc>
          <w:tcPr>
            <w:tcW w:w="1728" w:type="dxa"/>
          </w:tcPr>
          <w:p w:rsidR="00106B96" w:rsidRPr="009D50B7" w:rsidRDefault="00106B96" w:rsidP="009B30C2">
            <w:r>
              <w:t>Lecture note #2</w:t>
            </w:r>
          </w:p>
        </w:tc>
      </w:tr>
      <w:tr w:rsidR="00106B96" w:rsidRPr="009D50B7" w:rsidTr="009B30C2">
        <w:tc>
          <w:tcPr>
            <w:tcW w:w="1188" w:type="dxa"/>
          </w:tcPr>
          <w:p w:rsidR="00106B96" w:rsidRPr="009D50B7" w:rsidRDefault="00106B96" w:rsidP="009B30C2">
            <w:r>
              <w:t xml:space="preserve">Week 2 </w:t>
            </w:r>
          </w:p>
        </w:tc>
        <w:tc>
          <w:tcPr>
            <w:tcW w:w="3600" w:type="dxa"/>
          </w:tcPr>
          <w:p w:rsidR="00106B96" w:rsidRDefault="00106B96" w:rsidP="009B30C2">
            <w:r>
              <w:t xml:space="preserve">Measure of relationships </w:t>
            </w:r>
          </w:p>
          <w:p w:rsidR="00106B96" w:rsidRPr="009D50B7" w:rsidRDefault="00106B96" w:rsidP="009B30C2">
            <w:r>
              <w:t>between variables</w:t>
            </w:r>
          </w:p>
        </w:tc>
        <w:tc>
          <w:tcPr>
            <w:tcW w:w="2340" w:type="dxa"/>
          </w:tcPr>
          <w:p w:rsidR="00106B96" w:rsidRPr="009D50B7" w:rsidRDefault="00106B96" w:rsidP="009B30C2"/>
        </w:tc>
        <w:tc>
          <w:tcPr>
            <w:tcW w:w="1728" w:type="dxa"/>
          </w:tcPr>
          <w:p w:rsidR="00106B96" w:rsidRPr="009D50B7" w:rsidRDefault="00106B96" w:rsidP="009B30C2">
            <w:r>
              <w:t>Lecture note #3</w:t>
            </w:r>
          </w:p>
        </w:tc>
      </w:tr>
      <w:tr w:rsidR="00106B96" w:rsidRPr="009D50B7" w:rsidTr="009B30C2">
        <w:tc>
          <w:tcPr>
            <w:tcW w:w="1188" w:type="dxa"/>
          </w:tcPr>
          <w:p w:rsidR="00106B96" w:rsidRPr="009D50B7" w:rsidRDefault="00106B96" w:rsidP="009B30C2">
            <w:r>
              <w:t xml:space="preserve">Week 3 </w:t>
            </w:r>
          </w:p>
        </w:tc>
        <w:tc>
          <w:tcPr>
            <w:tcW w:w="3600" w:type="dxa"/>
          </w:tcPr>
          <w:p w:rsidR="00106B96" w:rsidRPr="009D50B7" w:rsidRDefault="00106B96" w:rsidP="009B30C2">
            <w:r>
              <w:t>Theory of probability</w:t>
            </w:r>
          </w:p>
        </w:tc>
        <w:tc>
          <w:tcPr>
            <w:tcW w:w="2340" w:type="dxa"/>
          </w:tcPr>
          <w:p w:rsidR="00106B96" w:rsidRPr="009D50B7" w:rsidRDefault="00106B96" w:rsidP="009B30C2">
            <w:r>
              <w:t>Chap.2: Sec 2.1, 2.2, 2.3, 2.4 &amp; 2.5 (SS)</w:t>
            </w:r>
          </w:p>
        </w:tc>
        <w:tc>
          <w:tcPr>
            <w:tcW w:w="1728" w:type="dxa"/>
          </w:tcPr>
          <w:p w:rsidR="00106B96" w:rsidRPr="009D50B7" w:rsidRDefault="00106B96" w:rsidP="009B30C2">
            <w:r>
              <w:t>Lecture note #4</w:t>
            </w:r>
          </w:p>
        </w:tc>
      </w:tr>
      <w:tr w:rsidR="00106B96" w:rsidRPr="009D50B7" w:rsidTr="009B30C2">
        <w:tc>
          <w:tcPr>
            <w:tcW w:w="1188" w:type="dxa"/>
          </w:tcPr>
          <w:p w:rsidR="00106B96" w:rsidRPr="009D50B7" w:rsidRDefault="00106B96" w:rsidP="009B30C2">
            <w:r>
              <w:t xml:space="preserve">Week 4 </w:t>
            </w:r>
          </w:p>
        </w:tc>
        <w:tc>
          <w:tcPr>
            <w:tcW w:w="3600" w:type="dxa"/>
          </w:tcPr>
          <w:p w:rsidR="00106B96" w:rsidRPr="009D50B7" w:rsidRDefault="00106B96" w:rsidP="009B30C2">
            <w:r>
              <w:t>Counting techniques</w:t>
            </w:r>
          </w:p>
        </w:tc>
        <w:tc>
          <w:tcPr>
            <w:tcW w:w="2340" w:type="dxa"/>
          </w:tcPr>
          <w:p w:rsidR="00106B96" w:rsidRPr="009D50B7" w:rsidRDefault="00106B96" w:rsidP="009B30C2">
            <w:r>
              <w:t>Chap. 5: Sec 5.3 (SS)</w:t>
            </w:r>
          </w:p>
        </w:tc>
        <w:tc>
          <w:tcPr>
            <w:tcW w:w="1728" w:type="dxa"/>
          </w:tcPr>
          <w:p w:rsidR="00106B96" w:rsidRPr="009D50B7" w:rsidRDefault="00106B96" w:rsidP="009B30C2">
            <w:r>
              <w:t>Lecture note #5</w:t>
            </w:r>
          </w:p>
        </w:tc>
      </w:tr>
      <w:tr w:rsidR="00106B96" w:rsidRPr="009D50B7" w:rsidTr="009B30C2">
        <w:tc>
          <w:tcPr>
            <w:tcW w:w="1188" w:type="dxa"/>
          </w:tcPr>
          <w:p w:rsidR="00106B96" w:rsidRPr="009D50B7" w:rsidRDefault="00106B96" w:rsidP="009B30C2">
            <w:r>
              <w:t xml:space="preserve">Week 5 </w:t>
            </w:r>
          </w:p>
        </w:tc>
        <w:tc>
          <w:tcPr>
            <w:tcW w:w="3600" w:type="dxa"/>
          </w:tcPr>
          <w:p w:rsidR="00106B96" w:rsidRPr="009D50B7" w:rsidRDefault="00106B96" w:rsidP="009B30C2">
            <w:r>
              <w:t>Bayes’ Theorem</w:t>
            </w:r>
          </w:p>
        </w:tc>
        <w:tc>
          <w:tcPr>
            <w:tcW w:w="2340" w:type="dxa"/>
          </w:tcPr>
          <w:p w:rsidR="00106B96" w:rsidRPr="009D50B7" w:rsidRDefault="00106B96" w:rsidP="009B30C2">
            <w:r>
              <w:t>Chap. 2: Sec 2.4.4 (SS)</w:t>
            </w:r>
          </w:p>
        </w:tc>
        <w:tc>
          <w:tcPr>
            <w:tcW w:w="1728" w:type="dxa"/>
          </w:tcPr>
          <w:p w:rsidR="00106B96" w:rsidRPr="009D50B7" w:rsidRDefault="00106B96" w:rsidP="009B30C2">
            <w:r>
              <w:t>Lecture note #6</w:t>
            </w:r>
          </w:p>
        </w:tc>
      </w:tr>
      <w:tr w:rsidR="00106B96" w:rsidRPr="009D50B7" w:rsidTr="009B30C2">
        <w:tc>
          <w:tcPr>
            <w:tcW w:w="1188" w:type="dxa"/>
          </w:tcPr>
          <w:p w:rsidR="00106B96" w:rsidRPr="009D50B7" w:rsidRDefault="00106B96" w:rsidP="009B30C2">
            <w:r>
              <w:t xml:space="preserve">Week 6 </w:t>
            </w:r>
          </w:p>
        </w:tc>
        <w:tc>
          <w:tcPr>
            <w:tcW w:w="3600" w:type="dxa"/>
          </w:tcPr>
          <w:p w:rsidR="00106B96" w:rsidRPr="009D50B7" w:rsidRDefault="00106B96" w:rsidP="009B30C2">
            <w:r>
              <w:t>Random variables: Discrete &amp; Continuous</w:t>
            </w:r>
          </w:p>
        </w:tc>
        <w:tc>
          <w:tcPr>
            <w:tcW w:w="2340" w:type="dxa"/>
          </w:tcPr>
          <w:p w:rsidR="00106B96" w:rsidRDefault="00106B96" w:rsidP="009B30C2">
            <w:r>
              <w:t>Chap. 3: Sec 3.1 (SS)</w:t>
            </w:r>
          </w:p>
          <w:p w:rsidR="00106B96" w:rsidRPr="009D50B7" w:rsidRDefault="00106B96" w:rsidP="009B30C2">
            <w:r>
              <w:t>Chap. 6: Sec 6.1 &amp; 6.2 (SS)</w:t>
            </w:r>
          </w:p>
        </w:tc>
        <w:tc>
          <w:tcPr>
            <w:tcW w:w="1728" w:type="dxa"/>
          </w:tcPr>
          <w:p w:rsidR="00106B96" w:rsidRPr="009D50B7" w:rsidRDefault="00106B96" w:rsidP="009B30C2">
            <w:r>
              <w:t>Lecture note #7</w:t>
            </w:r>
          </w:p>
        </w:tc>
      </w:tr>
      <w:tr w:rsidR="00106B96" w:rsidRPr="009D50B7" w:rsidTr="009B30C2">
        <w:tc>
          <w:tcPr>
            <w:tcW w:w="1188" w:type="dxa"/>
          </w:tcPr>
          <w:p w:rsidR="00106B96" w:rsidRPr="009D50B7" w:rsidRDefault="00106B96" w:rsidP="009B30C2">
            <w:r>
              <w:t xml:space="preserve">Week 7 </w:t>
            </w:r>
          </w:p>
        </w:tc>
        <w:tc>
          <w:tcPr>
            <w:tcW w:w="3600" w:type="dxa"/>
          </w:tcPr>
          <w:p w:rsidR="00106B96" w:rsidRDefault="00106B96" w:rsidP="009B30C2">
            <w:r>
              <w:t>Joint random variables</w:t>
            </w:r>
          </w:p>
          <w:p w:rsidR="00106B96" w:rsidRPr="009D50B7" w:rsidRDefault="00106B96" w:rsidP="009B30C2">
            <w:r>
              <w:t>&amp; Change of Variables</w:t>
            </w:r>
          </w:p>
        </w:tc>
        <w:tc>
          <w:tcPr>
            <w:tcW w:w="2340" w:type="dxa"/>
          </w:tcPr>
          <w:p w:rsidR="00106B96" w:rsidRPr="009D50B7" w:rsidRDefault="00106B96" w:rsidP="009B30C2">
            <w:r>
              <w:t>Chap. 4: Sec 4.1 (SS)</w:t>
            </w:r>
          </w:p>
        </w:tc>
        <w:tc>
          <w:tcPr>
            <w:tcW w:w="1728" w:type="dxa"/>
          </w:tcPr>
          <w:p w:rsidR="00106B96" w:rsidRPr="009D50B7" w:rsidRDefault="00106B96" w:rsidP="009B30C2">
            <w:r>
              <w:t>Lecture note #8</w:t>
            </w:r>
          </w:p>
        </w:tc>
      </w:tr>
      <w:tr w:rsidR="00106B96" w:rsidRPr="009D50B7" w:rsidTr="009B30C2">
        <w:tc>
          <w:tcPr>
            <w:tcW w:w="1188" w:type="dxa"/>
          </w:tcPr>
          <w:p w:rsidR="00106B96" w:rsidRPr="009D50B7" w:rsidRDefault="00106B96" w:rsidP="009B30C2">
            <w:r>
              <w:t>Week 8</w:t>
            </w:r>
          </w:p>
        </w:tc>
        <w:tc>
          <w:tcPr>
            <w:tcW w:w="3600" w:type="dxa"/>
          </w:tcPr>
          <w:p w:rsidR="00106B96" w:rsidRPr="009D50B7" w:rsidRDefault="00106B96" w:rsidP="009B30C2">
            <w:r>
              <w:t>Expectations including conditional expectations</w:t>
            </w:r>
          </w:p>
        </w:tc>
        <w:tc>
          <w:tcPr>
            <w:tcW w:w="2340" w:type="dxa"/>
          </w:tcPr>
          <w:p w:rsidR="00106B96" w:rsidRDefault="00106B96" w:rsidP="009B30C2">
            <w:r>
              <w:t>Chap. 3: Sec 3.2, 3.3 &amp; 3.4 (SS)</w:t>
            </w:r>
          </w:p>
          <w:p w:rsidR="00106B96" w:rsidRPr="009D50B7" w:rsidRDefault="00106B96" w:rsidP="009B30C2">
            <w:r>
              <w:t>Chap. 4: Sec 4.2, 4.3, &amp; 4.4 (SS)</w:t>
            </w:r>
          </w:p>
        </w:tc>
        <w:tc>
          <w:tcPr>
            <w:tcW w:w="1728" w:type="dxa"/>
          </w:tcPr>
          <w:p w:rsidR="00106B96" w:rsidRPr="009D50B7" w:rsidRDefault="00106B96" w:rsidP="009B30C2">
            <w:r>
              <w:t>Lecture note #9</w:t>
            </w:r>
          </w:p>
        </w:tc>
      </w:tr>
      <w:tr w:rsidR="00106B96" w:rsidRPr="00840F27" w:rsidTr="009B30C2">
        <w:tc>
          <w:tcPr>
            <w:tcW w:w="1188" w:type="dxa"/>
          </w:tcPr>
          <w:p w:rsidR="00106B96" w:rsidRPr="00840F27" w:rsidRDefault="00106B96" w:rsidP="009B30C2">
            <w:r w:rsidRPr="00840F27">
              <w:t xml:space="preserve">Week </w:t>
            </w:r>
            <w:r>
              <w:t>9</w:t>
            </w:r>
            <w:r w:rsidRPr="00840F27">
              <w:t xml:space="preserve"> </w:t>
            </w:r>
          </w:p>
        </w:tc>
        <w:tc>
          <w:tcPr>
            <w:tcW w:w="3600" w:type="dxa"/>
          </w:tcPr>
          <w:p w:rsidR="00106B96" w:rsidRPr="00840F27" w:rsidRDefault="00106B96" w:rsidP="009B30C2">
            <w:r>
              <w:t>Expectation including conditional expectations</w:t>
            </w:r>
          </w:p>
        </w:tc>
        <w:tc>
          <w:tcPr>
            <w:tcW w:w="2340" w:type="dxa"/>
          </w:tcPr>
          <w:p w:rsidR="00106B96" w:rsidRDefault="00106B96" w:rsidP="009B30C2">
            <w:r>
              <w:t>Chap. 3: Sec 3.2, 3.3 &amp; 3.4 (SS)</w:t>
            </w:r>
          </w:p>
          <w:p w:rsidR="00106B96" w:rsidRPr="00840F27" w:rsidRDefault="00106B96" w:rsidP="009B30C2">
            <w:r>
              <w:t>Chap. 4: Sec 4.2, 4.3, &amp; 4.4 (SS)</w:t>
            </w:r>
          </w:p>
        </w:tc>
        <w:tc>
          <w:tcPr>
            <w:tcW w:w="1728" w:type="dxa"/>
          </w:tcPr>
          <w:p w:rsidR="00106B96" w:rsidRPr="00840F27" w:rsidRDefault="00106B96" w:rsidP="009B30C2">
            <w:r>
              <w:t>Lecture note #9</w:t>
            </w:r>
          </w:p>
        </w:tc>
      </w:tr>
      <w:tr w:rsidR="00106B96" w:rsidRPr="00840F27" w:rsidTr="009B30C2">
        <w:tc>
          <w:tcPr>
            <w:tcW w:w="1188" w:type="dxa"/>
          </w:tcPr>
          <w:p w:rsidR="00106B96" w:rsidRDefault="00106B96" w:rsidP="009B30C2">
            <w:r>
              <w:t xml:space="preserve">Week 10 </w:t>
            </w:r>
          </w:p>
          <w:p w:rsidR="00106B96" w:rsidRPr="00840F27" w:rsidRDefault="00106B96" w:rsidP="009B30C2"/>
        </w:tc>
        <w:tc>
          <w:tcPr>
            <w:tcW w:w="3600" w:type="dxa"/>
          </w:tcPr>
          <w:p w:rsidR="00106B96" w:rsidRPr="00840F27" w:rsidRDefault="00106B96" w:rsidP="009B30C2">
            <w:r>
              <w:t>Moment of Generating Function</w:t>
            </w:r>
          </w:p>
        </w:tc>
        <w:tc>
          <w:tcPr>
            <w:tcW w:w="2340" w:type="dxa"/>
          </w:tcPr>
          <w:p w:rsidR="00106B96" w:rsidRPr="00840F27" w:rsidRDefault="00106B96" w:rsidP="009B30C2"/>
        </w:tc>
        <w:tc>
          <w:tcPr>
            <w:tcW w:w="1728" w:type="dxa"/>
          </w:tcPr>
          <w:p w:rsidR="00106B96" w:rsidRPr="00840F27" w:rsidRDefault="00106B96" w:rsidP="009B30C2">
            <w:r>
              <w:t>Lecture note #10</w:t>
            </w:r>
          </w:p>
        </w:tc>
      </w:tr>
      <w:tr w:rsidR="00106B96" w:rsidRPr="00840F27" w:rsidTr="009B30C2">
        <w:tc>
          <w:tcPr>
            <w:tcW w:w="1188" w:type="dxa"/>
          </w:tcPr>
          <w:p w:rsidR="00106B96" w:rsidRDefault="00106B96" w:rsidP="009B30C2">
            <w:r>
              <w:t xml:space="preserve">Week 11 </w:t>
            </w:r>
          </w:p>
          <w:p w:rsidR="00106B96" w:rsidRPr="00840F27" w:rsidRDefault="00106B96" w:rsidP="009B30C2"/>
        </w:tc>
        <w:tc>
          <w:tcPr>
            <w:tcW w:w="3600" w:type="dxa"/>
          </w:tcPr>
          <w:p w:rsidR="00106B96" w:rsidRPr="00840F27" w:rsidRDefault="00106B96" w:rsidP="009B30C2">
            <w:r>
              <w:t>Discrete distributions</w:t>
            </w:r>
          </w:p>
        </w:tc>
        <w:tc>
          <w:tcPr>
            <w:tcW w:w="2340" w:type="dxa"/>
          </w:tcPr>
          <w:p w:rsidR="00106B96" w:rsidRDefault="00106B96" w:rsidP="009B30C2">
            <w:r>
              <w:t>Chap. 5: Sec 5.1, 5.2 5.4 (SS)</w:t>
            </w:r>
          </w:p>
          <w:p w:rsidR="00106B96" w:rsidRPr="00840F27" w:rsidRDefault="00106B96" w:rsidP="009B30C2">
            <w:r>
              <w:t>Chap. 8: Sec 8.1</w:t>
            </w:r>
          </w:p>
        </w:tc>
        <w:tc>
          <w:tcPr>
            <w:tcW w:w="1728" w:type="dxa"/>
          </w:tcPr>
          <w:p w:rsidR="00106B96" w:rsidRPr="00840F27" w:rsidRDefault="00106B96" w:rsidP="009B30C2">
            <w:r>
              <w:t>Lecture note #11</w:t>
            </w:r>
          </w:p>
        </w:tc>
      </w:tr>
      <w:tr w:rsidR="00106B96" w:rsidRPr="00840F27" w:rsidTr="009B30C2">
        <w:tc>
          <w:tcPr>
            <w:tcW w:w="1188" w:type="dxa"/>
          </w:tcPr>
          <w:p w:rsidR="00106B96" w:rsidRDefault="00106B96" w:rsidP="009B30C2">
            <w:r>
              <w:t xml:space="preserve">Week 12 </w:t>
            </w:r>
          </w:p>
          <w:p w:rsidR="00106B96" w:rsidRPr="00840F27" w:rsidRDefault="00106B96" w:rsidP="009B30C2"/>
        </w:tc>
        <w:tc>
          <w:tcPr>
            <w:tcW w:w="3600" w:type="dxa"/>
          </w:tcPr>
          <w:p w:rsidR="00106B96" w:rsidRPr="00840F27" w:rsidRDefault="00106B96" w:rsidP="009B30C2">
            <w:r>
              <w:t>Continuous distributions</w:t>
            </w:r>
          </w:p>
        </w:tc>
        <w:tc>
          <w:tcPr>
            <w:tcW w:w="2340" w:type="dxa"/>
          </w:tcPr>
          <w:p w:rsidR="00106B96" w:rsidRDefault="00106B96" w:rsidP="009B30C2">
            <w:r>
              <w:t>Chap. 6: Sec 6.3, 6.4, 6.5, 6.6 (SS)</w:t>
            </w:r>
          </w:p>
          <w:p w:rsidR="00106B96" w:rsidRPr="00840F27" w:rsidRDefault="00106B96" w:rsidP="009B30C2">
            <w:r>
              <w:t>Chap. 8: Sec 8.2 &amp; 8.3 (SS)</w:t>
            </w:r>
          </w:p>
        </w:tc>
        <w:tc>
          <w:tcPr>
            <w:tcW w:w="1728" w:type="dxa"/>
          </w:tcPr>
          <w:p w:rsidR="00106B96" w:rsidRPr="00840F27" w:rsidRDefault="00106B96" w:rsidP="009B30C2">
            <w:r>
              <w:t>Lecture note #12</w:t>
            </w:r>
          </w:p>
        </w:tc>
      </w:tr>
      <w:tr w:rsidR="00106B96" w:rsidRPr="00840F27" w:rsidTr="009B30C2">
        <w:tc>
          <w:tcPr>
            <w:tcW w:w="1188" w:type="dxa"/>
          </w:tcPr>
          <w:p w:rsidR="00106B96" w:rsidRDefault="00106B96" w:rsidP="009B30C2">
            <w:r>
              <w:t xml:space="preserve">Week 13 </w:t>
            </w:r>
          </w:p>
          <w:p w:rsidR="00106B96" w:rsidRPr="00840F27" w:rsidRDefault="00106B96" w:rsidP="009B30C2"/>
        </w:tc>
        <w:tc>
          <w:tcPr>
            <w:tcW w:w="3600" w:type="dxa"/>
          </w:tcPr>
          <w:p w:rsidR="00106B96" w:rsidRDefault="00106B96" w:rsidP="009B30C2">
            <w:r>
              <w:t>Sampling distributions</w:t>
            </w:r>
          </w:p>
          <w:p w:rsidR="00106B96" w:rsidRPr="00840F27" w:rsidRDefault="00106B96" w:rsidP="009B30C2"/>
        </w:tc>
        <w:tc>
          <w:tcPr>
            <w:tcW w:w="2340" w:type="dxa"/>
          </w:tcPr>
          <w:p w:rsidR="00106B96" w:rsidRPr="00840F27" w:rsidRDefault="00106B96" w:rsidP="009B30C2">
            <w:r>
              <w:t>Chap. 7 (SS)</w:t>
            </w:r>
          </w:p>
        </w:tc>
        <w:tc>
          <w:tcPr>
            <w:tcW w:w="1728" w:type="dxa"/>
          </w:tcPr>
          <w:p w:rsidR="00106B96" w:rsidRPr="00840F27" w:rsidRDefault="00106B96" w:rsidP="009B30C2">
            <w:r>
              <w:t>Lecture note #13</w:t>
            </w:r>
          </w:p>
        </w:tc>
      </w:tr>
      <w:tr w:rsidR="00106B96" w:rsidTr="009B30C2">
        <w:tc>
          <w:tcPr>
            <w:tcW w:w="1188" w:type="dxa"/>
          </w:tcPr>
          <w:p w:rsidR="00106B96" w:rsidRDefault="00106B96" w:rsidP="009B30C2">
            <w:r>
              <w:t xml:space="preserve">Week 14 </w:t>
            </w:r>
          </w:p>
          <w:p w:rsidR="00106B96" w:rsidRDefault="00106B96" w:rsidP="009B30C2"/>
        </w:tc>
        <w:tc>
          <w:tcPr>
            <w:tcW w:w="3600" w:type="dxa"/>
          </w:tcPr>
          <w:p w:rsidR="00106B96" w:rsidRDefault="00106B96" w:rsidP="009B30C2">
            <w:r>
              <w:t>Hypothesis Testing</w:t>
            </w:r>
          </w:p>
        </w:tc>
        <w:tc>
          <w:tcPr>
            <w:tcW w:w="2340" w:type="dxa"/>
          </w:tcPr>
          <w:p w:rsidR="00106B96" w:rsidRDefault="00106B96" w:rsidP="009B30C2">
            <w:r>
              <w:t>Chapter 16 (SS)</w:t>
            </w:r>
          </w:p>
        </w:tc>
        <w:tc>
          <w:tcPr>
            <w:tcW w:w="1728" w:type="dxa"/>
          </w:tcPr>
          <w:p w:rsidR="00106B96" w:rsidRDefault="00106B96" w:rsidP="009B30C2">
            <w:r>
              <w:t>Lecture note #14</w:t>
            </w:r>
          </w:p>
        </w:tc>
      </w:tr>
    </w:tbl>
    <w:p w:rsidR="00643C52" w:rsidRDefault="00643C52" w:rsidP="00B40A90">
      <w:pPr>
        <w:rPr>
          <w:b/>
        </w:rPr>
      </w:pPr>
    </w:p>
    <w:p w:rsidR="00643C52" w:rsidRDefault="00643C52" w:rsidP="00B40A90">
      <w:pPr>
        <w:rPr>
          <w:b/>
        </w:rPr>
      </w:pPr>
    </w:p>
    <w:p w:rsidR="00EF7333" w:rsidRDefault="00EF7333" w:rsidP="00B40A90">
      <w:r w:rsidRPr="005575B7">
        <w:rPr>
          <w:b/>
        </w:rPr>
        <w:lastRenderedPageBreak/>
        <w:t>Ground Rules</w:t>
      </w:r>
      <w:r w:rsidR="009A3266">
        <w:rPr>
          <w:b/>
        </w:rPr>
        <w:t xml:space="preserve"> for Success in Econ220</w:t>
      </w:r>
      <w:r w:rsidRPr="00FC5F2C">
        <w:rPr>
          <w:b/>
        </w:rPr>
        <w:t>:</w:t>
      </w:r>
    </w:p>
    <w:p w:rsidR="00EF7333" w:rsidRDefault="009A3266" w:rsidP="00B40A90">
      <w:r>
        <w:rPr>
          <w:rFonts w:ascii="Cambria Math" w:hAnsi="Cambria Math"/>
        </w:rPr>
        <w:t>•</w:t>
      </w:r>
      <w:r w:rsidR="00EF7333">
        <w:t xml:space="preserve"> Practice at solving statistical problems cannot be overemphasized. Feel free to solve additional problems from the textbooks</w:t>
      </w:r>
      <w:r w:rsidR="0019415F">
        <w:t xml:space="preserve"> and problem sets</w:t>
      </w:r>
      <w:r w:rsidR="00EF7333">
        <w:t>.</w:t>
      </w:r>
    </w:p>
    <w:p w:rsidR="00EF7333" w:rsidRDefault="009A3266" w:rsidP="00B40A90">
      <w:r>
        <w:rPr>
          <w:rFonts w:ascii="Cambria Math" w:hAnsi="Cambria Math"/>
        </w:rPr>
        <w:t>•</w:t>
      </w:r>
      <w:r w:rsidR="00EF7333">
        <w:t xml:space="preserve"> </w:t>
      </w:r>
      <w:r w:rsidR="005575B7">
        <w:t>If there are difficulties solving problems, feel free to visit the professor during office hours or make an appointment.</w:t>
      </w:r>
    </w:p>
    <w:p w:rsidR="005575B7" w:rsidRDefault="009A3266" w:rsidP="00B40A90">
      <w:r>
        <w:rPr>
          <w:rFonts w:ascii="Cambria Math" w:hAnsi="Cambria Math"/>
        </w:rPr>
        <w:t>•</w:t>
      </w:r>
      <w:r w:rsidR="005575B7">
        <w:t xml:space="preserve"> Feel free to use email to contact the professor to ask questions.</w:t>
      </w:r>
    </w:p>
    <w:p w:rsidR="005575B7" w:rsidRDefault="009A3266" w:rsidP="00B40A90">
      <w:r>
        <w:rPr>
          <w:rFonts w:ascii="Cambria Math" w:hAnsi="Cambria Math"/>
        </w:rPr>
        <w:t>•</w:t>
      </w:r>
      <w:r w:rsidR="005575B7">
        <w:t xml:space="preserve"> Please pay attention to your academic progress in the course and take remedial action before it is too late.</w:t>
      </w:r>
    </w:p>
    <w:p w:rsidR="005575B7" w:rsidRDefault="009A3266" w:rsidP="00B40A90">
      <w:pPr>
        <w:rPr>
          <w:b/>
        </w:rPr>
      </w:pPr>
      <w:r>
        <w:rPr>
          <w:rFonts w:ascii="Cambria Math" w:hAnsi="Cambria Math"/>
        </w:rPr>
        <w:t>•</w:t>
      </w:r>
      <w:r w:rsidR="005575B7">
        <w:t xml:space="preserve"> All forms of academic dishonesty will be dealt with “by the book.” </w:t>
      </w:r>
      <w:r w:rsidR="005575B7" w:rsidRPr="005575B7">
        <w:rPr>
          <w:b/>
        </w:rPr>
        <w:t>No Excuse Is Acceptable.</w:t>
      </w:r>
    </w:p>
    <w:p w:rsidR="00E67F89" w:rsidRDefault="00E67F89" w:rsidP="00B40A90">
      <w:r>
        <w:rPr>
          <w:rFonts w:ascii="Cambria Math" w:hAnsi="Cambria Math"/>
          <w:b/>
        </w:rPr>
        <w:t>•</w:t>
      </w:r>
      <w:r>
        <w:rPr>
          <w:b/>
        </w:rPr>
        <w:t xml:space="preserve"> </w:t>
      </w:r>
      <w:r w:rsidRPr="00E67F89">
        <w:t xml:space="preserve">If the professor has made any mistake in grading the test </w:t>
      </w:r>
      <w:r w:rsidR="005830B6">
        <w:t>or</w:t>
      </w:r>
      <w:r w:rsidRPr="00E67F89">
        <w:t xml:space="preserve"> the quiz, a student must correct it </w:t>
      </w:r>
      <w:r>
        <w:t>“</w:t>
      </w:r>
      <w:r w:rsidRPr="00E67F89">
        <w:rPr>
          <w:b/>
          <w:i/>
        </w:rPr>
        <w:t>within 48 hours</w:t>
      </w:r>
      <w:r>
        <w:t>”</w:t>
      </w:r>
      <w:r w:rsidRPr="00E67F89">
        <w:t xml:space="preserve"> after he/she receives it. Otherwise, it can’t be corrected.</w:t>
      </w:r>
    </w:p>
    <w:p w:rsidR="00BA022E" w:rsidRPr="00BA022E" w:rsidRDefault="00BA022E" w:rsidP="00B40A90">
      <w:pPr>
        <w:rPr>
          <w:sz w:val="16"/>
          <w:szCs w:val="16"/>
        </w:rPr>
      </w:pPr>
    </w:p>
    <w:p w:rsidR="00BA022E" w:rsidRDefault="00BA022E" w:rsidP="00BA022E">
      <w:pPr>
        <w:rPr>
          <w:b/>
          <w:sz w:val="28"/>
          <w:szCs w:val="28"/>
        </w:rPr>
      </w:pPr>
      <w:r w:rsidRPr="00753E5F">
        <w:rPr>
          <w:b/>
          <w:sz w:val="28"/>
          <w:szCs w:val="28"/>
        </w:rPr>
        <w:t xml:space="preserve">“The best way to attain a good grade is not to make a good grade your </w:t>
      </w:r>
      <w:r w:rsidRPr="00753E5F">
        <w:rPr>
          <w:b/>
          <w:i/>
          <w:sz w:val="28"/>
          <w:szCs w:val="28"/>
        </w:rPr>
        <w:t>direct end</w:t>
      </w:r>
      <w:r w:rsidRPr="00753E5F">
        <w:rPr>
          <w:b/>
          <w:sz w:val="28"/>
          <w:szCs w:val="28"/>
        </w:rPr>
        <w:t xml:space="preserve">, but to fix your mind on something else – </w:t>
      </w:r>
      <w:r>
        <w:rPr>
          <w:b/>
          <w:sz w:val="28"/>
          <w:szCs w:val="28"/>
        </w:rPr>
        <w:t xml:space="preserve">a </w:t>
      </w:r>
      <w:r w:rsidRPr="00753E5F">
        <w:rPr>
          <w:b/>
          <w:sz w:val="28"/>
          <w:szCs w:val="28"/>
        </w:rPr>
        <w:t xml:space="preserve">joy of learning.” </w:t>
      </w:r>
    </w:p>
    <w:p w:rsidR="00E67F89" w:rsidRPr="00D879DC" w:rsidRDefault="00E67F89" w:rsidP="00B40A90">
      <w:pPr>
        <w:rPr>
          <w:sz w:val="16"/>
          <w:szCs w:val="16"/>
        </w:rPr>
      </w:pPr>
    </w:p>
    <w:p w:rsidR="00712FEC" w:rsidRPr="006B6341" w:rsidRDefault="00712FEC" w:rsidP="00E67F89">
      <w:r w:rsidRPr="006B6341">
        <w:t>Academic misconduct is an offense generally defined as any action or inaction which is offensive to the integrity and honesty of the members of the academic community. This offense includes, but is not limited to, the following:</w:t>
      </w:r>
    </w:p>
    <w:p w:rsidR="00712FEC" w:rsidRPr="006B6341" w:rsidRDefault="00712FEC" w:rsidP="00E67F89">
      <w:r w:rsidRPr="006B6341">
        <w:t>(a) Seeking, acquiring, receiving, or giving information about the conduct of an examination, knowing that the release of such information has not been authorized;</w:t>
      </w:r>
    </w:p>
    <w:p w:rsidR="00712FEC" w:rsidRPr="006B6341" w:rsidRDefault="00712FEC" w:rsidP="00E67F89">
      <w:r w:rsidRPr="006B6341">
        <w:t>(b) Plagiarizing;</w:t>
      </w:r>
    </w:p>
    <w:p w:rsidR="00712FEC" w:rsidRPr="006B6341" w:rsidRDefault="00712FEC" w:rsidP="00E67F89">
      <w:r w:rsidRPr="006B6341">
        <w:t>(c) Seeking, using, giving, or obtaining unauthorized assistance or information in any academic assignment or examination;</w:t>
      </w:r>
    </w:p>
    <w:p w:rsidR="00712FEC" w:rsidRPr="006B6341" w:rsidRDefault="00712FEC" w:rsidP="00E67F89">
      <w:r w:rsidRPr="006B6341">
        <w:t>(d) Intentionally giving false information to professors or instructors for the purpose of gaining academic advantage;</w:t>
      </w:r>
    </w:p>
    <w:p w:rsidR="00712FEC" w:rsidRPr="006B6341" w:rsidRDefault="00712FEC" w:rsidP="00E67F89">
      <w:r w:rsidRPr="006B6341">
        <w:t>(e) Breach of any duties prescribed by this Code;</w:t>
      </w:r>
    </w:p>
    <w:p w:rsidR="00712FEC" w:rsidRDefault="00712FEC" w:rsidP="00E67F89">
      <w:r w:rsidRPr="006B6341">
        <w:t>(f) Intentionally giving false evidence in any Honor Council hearing or refusing to give evidence when requested by the Honor Council.</w:t>
      </w:r>
    </w:p>
    <w:p w:rsidR="007D3276" w:rsidRPr="00A608EC" w:rsidRDefault="007D3276" w:rsidP="00AF01AC">
      <w:pPr>
        <w:rPr>
          <w:b/>
          <w:sz w:val="16"/>
          <w:szCs w:val="16"/>
        </w:rPr>
      </w:pPr>
    </w:p>
    <w:p w:rsidR="00AF01AC" w:rsidRPr="00AF01AC" w:rsidRDefault="00AF01AC" w:rsidP="00AF01AC">
      <w:pPr>
        <w:rPr>
          <w:b/>
        </w:rPr>
      </w:pPr>
      <w:r w:rsidRPr="00AF01AC">
        <w:rPr>
          <w:b/>
        </w:rPr>
        <w:t>Information on Office for Undergraduate Education</w:t>
      </w:r>
      <w:r w:rsidRPr="00FC5F2C">
        <w:rPr>
          <w:b/>
        </w:rPr>
        <w:t>:</w:t>
      </w:r>
    </w:p>
    <w:p w:rsidR="00AF01AC" w:rsidRPr="00AF01AC" w:rsidRDefault="00AF01AC" w:rsidP="00AF01AC">
      <w:r w:rsidRPr="00AF01AC">
        <w:t>• The Office for Undergraduate Education (OUE) central office is located in White Hall 300</w:t>
      </w:r>
    </w:p>
    <w:p w:rsidR="00AF01AC" w:rsidRPr="00AF01AC" w:rsidRDefault="00AF01AC" w:rsidP="00AF01AC">
      <w:r w:rsidRPr="00AF01AC">
        <w:t xml:space="preserve">• Please visit or call 404.727.6069 with questions about academic affairs, concerns or policies. </w:t>
      </w:r>
    </w:p>
    <w:p w:rsidR="00AF01AC" w:rsidRPr="00AF01AC" w:rsidRDefault="00AF01AC" w:rsidP="00AF01AC">
      <w:pPr>
        <w:rPr>
          <w:rStyle w:val="Hyperlink"/>
        </w:rPr>
      </w:pPr>
      <w:r w:rsidRPr="00AF01AC">
        <w:t xml:space="preserve">• All Emory College of Arts and Sciences policies may be found in the College Catalog: </w:t>
      </w:r>
      <w:hyperlink r:id="rId11" w:history="1">
        <w:r w:rsidRPr="00AF01AC">
          <w:rPr>
            <w:rStyle w:val="Hyperlink"/>
          </w:rPr>
          <w:t>http://college.emory.edu/home/academic/catalog/index.html</w:t>
        </w:r>
      </w:hyperlink>
    </w:p>
    <w:p w:rsidR="00AF01AC" w:rsidRDefault="00AF01AC" w:rsidP="00AF01AC">
      <w:pPr>
        <w:rPr>
          <w:u w:val="single"/>
        </w:rPr>
      </w:pPr>
      <w:r w:rsidRPr="00AF01AC">
        <w:t xml:space="preserve">• For a full list of Religious Holidays can be found here: </w:t>
      </w:r>
      <w:r w:rsidRPr="00AF01AC">
        <w:br/>
      </w:r>
      <w:r w:rsidRPr="00AF01AC">
        <w:rPr>
          <w:u w:val="single"/>
        </w:rPr>
        <w:t xml:space="preserve">http://www.religiouslife.emory.edu/pdf/Religious%20Holidays%202013-14.pdf </w:t>
      </w:r>
    </w:p>
    <w:p w:rsidR="00AF01AC" w:rsidRPr="00A608EC" w:rsidRDefault="00AF01AC" w:rsidP="00AF01AC">
      <w:pPr>
        <w:rPr>
          <w:sz w:val="16"/>
          <w:szCs w:val="16"/>
          <w:u w:val="single"/>
        </w:rPr>
      </w:pPr>
    </w:p>
    <w:p w:rsidR="00AF01AC" w:rsidRPr="00AF01AC" w:rsidRDefault="00AF01AC" w:rsidP="00AF01AC">
      <w:pPr>
        <w:rPr>
          <w:b/>
        </w:rPr>
      </w:pPr>
      <w:r w:rsidRPr="00AF01AC">
        <w:rPr>
          <w:b/>
        </w:rPr>
        <w:t>Academic Advising and Class Deans</w:t>
      </w:r>
      <w:r>
        <w:rPr>
          <w:b/>
        </w:rPr>
        <w:t>:</w:t>
      </w:r>
    </w:p>
    <w:p w:rsidR="00AF01AC" w:rsidRPr="00AF01AC" w:rsidRDefault="00AF01AC" w:rsidP="00AF01AC">
      <w:r w:rsidRPr="00AF01AC">
        <w:t>If you have any academic concerns or questions about Emory College of Arts and Sciences policies, you should first meet with an OUE academic adviser.  If an academic adviser is unavailable to meet with you, you may meet with an OUE dean during open hours.</w:t>
      </w:r>
    </w:p>
    <w:p w:rsidR="00AF01AC" w:rsidRPr="00AF01AC" w:rsidRDefault="00AF01AC" w:rsidP="00AF01AC">
      <w:r>
        <w:rPr>
          <w:rFonts w:ascii="Cambria Math" w:hAnsi="Cambria Math"/>
        </w:rPr>
        <w:t>•</w:t>
      </w:r>
      <w:r>
        <w:t xml:space="preserve"> </w:t>
      </w:r>
      <w:r w:rsidRPr="00AF01AC">
        <w:t>OUE Academic Adviser appointments: Visit White Hall 300 or call 404.727.6069</w:t>
      </w:r>
    </w:p>
    <w:p w:rsidR="00AF01AC" w:rsidRDefault="00AF01AC" w:rsidP="00AF01AC">
      <w:pPr>
        <w:rPr>
          <w:u w:val="single"/>
        </w:rPr>
      </w:pPr>
      <w:r>
        <w:rPr>
          <w:rFonts w:ascii="Cambria Math" w:hAnsi="Cambria Math"/>
        </w:rPr>
        <w:lastRenderedPageBreak/>
        <w:t>•</w:t>
      </w:r>
      <w:r>
        <w:t xml:space="preserve"> </w:t>
      </w:r>
      <w:r w:rsidRPr="00AF01AC">
        <w:t xml:space="preserve">Deans’ Open Hours: </w:t>
      </w:r>
      <w:hyperlink r:id="rId12" w:history="1">
        <w:r w:rsidRPr="004B0A0E">
          <w:rPr>
            <w:rStyle w:val="Hyperlink"/>
          </w:rPr>
          <w:t>http://college.emory.edu/home/administration/office/undergraduate/hours.html</w:t>
        </w:r>
      </w:hyperlink>
    </w:p>
    <w:p w:rsidR="00AF01AC" w:rsidRPr="008F6701" w:rsidRDefault="00AF01AC" w:rsidP="00AF01AC">
      <w:pPr>
        <w:rPr>
          <w:sz w:val="16"/>
          <w:szCs w:val="16"/>
          <w:u w:val="single"/>
        </w:rPr>
      </w:pPr>
    </w:p>
    <w:p w:rsidR="00AF01AC" w:rsidRPr="00AF01AC" w:rsidRDefault="00AF01AC" w:rsidP="00AF01AC">
      <w:r w:rsidRPr="00AF01AC">
        <w:rPr>
          <w:b/>
        </w:rPr>
        <w:t>Academic Support</w:t>
      </w:r>
      <w:r>
        <w:rPr>
          <w:b/>
        </w:rPr>
        <w:t>:</w:t>
      </w:r>
    </w:p>
    <w:p w:rsidR="00AF01AC" w:rsidRPr="00AF01AC" w:rsidRDefault="00AF01AC" w:rsidP="00AF01AC">
      <w:r w:rsidRPr="00AF01AC">
        <w:t>There are a range of resources available to Emory undergraduates designed to enrich each student’s educational experience.</w:t>
      </w:r>
    </w:p>
    <w:p w:rsidR="00AF01AC" w:rsidRDefault="00AF01AC" w:rsidP="00AF01AC">
      <w:r>
        <w:rPr>
          <w:rFonts w:ascii="Cambria Math" w:hAnsi="Cambria Math"/>
        </w:rPr>
        <w:t>•</w:t>
      </w:r>
      <w:r>
        <w:t xml:space="preserve"> </w:t>
      </w:r>
      <w:r w:rsidRPr="00AF01AC">
        <w:t xml:space="preserve">Visit </w:t>
      </w:r>
      <w:hyperlink r:id="rId13" w:history="1">
        <w:r w:rsidRPr="00AF01AC">
          <w:rPr>
            <w:rStyle w:val="Hyperlink"/>
          </w:rPr>
          <w:t>http://college.emory.edu/advising</w:t>
        </w:r>
      </w:hyperlink>
      <w:r w:rsidRPr="00AF01AC">
        <w:t xml:space="preserve"> for a list of support programs and appointment directions</w:t>
      </w:r>
    </w:p>
    <w:p w:rsidR="00AF01AC" w:rsidRPr="00D879DC" w:rsidRDefault="00AF01AC" w:rsidP="00AF01AC">
      <w:pPr>
        <w:rPr>
          <w:sz w:val="16"/>
          <w:szCs w:val="16"/>
        </w:rPr>
      </w:pPr>
    </w:p>
    <w:p w:rsidR="00AF01AC" w:rsidRDefault="00AF01AC" w:rsidP="00AF01AC">
      <w:r w:rsidRPr="00AF01AC">
        <w:rPr>
          <w:b/>
        </w:rPr>
        <w:t>Access and Disability Resources</w:t>
      </w:r>
      <w:r>
        <w:rPr>
          <w:b/>
        </w:rPr>
        <w:t>:</w:t>
      </w:r>
      <w:r w:rsidRPr="00AF01AC">
        <w:rPr>
          <w:b/>
        </w:rPr>
        <w:br/>
      </w:r>
      <w:r w:rsidRPr="00AF01AC">
        <w:t>Students with medical/health conditions that might impact academic success should visit Access, Disability Services and Resources (ADSR formerly the Office of Disability Services, ODS) to determine eligibility for appropriate accommodations. Students who receive accommodations must present the Accommodation Letter from ADSR to your professor at the beginning of the semester, or when the letter is received.</w:t>
      </w:r>
      <w:r>
        <w:t xml:space="preserve"> </w:t>
      </w:r>
    </w:p>
    <w:p w:rsidR="00AF01AC" w:rsidRPr="00D879DC" w:rsidRDefault="00AF01AC" w:rsidP="00AF01AC">
      <w:pPr>
        <w:rPr>
          <w:sz w:val="16"/>
          <w:szCs w:val="16"/>
        </w:rPr>
      </w:pPr>
    </w:p>
    <w:p w:rsidR="00AF01AC" w:rsidRDefault="00AF01AC" w:rsidP="00AF01AC">
      <w:pPr>
        <w:rPr>
          <w:b/>
        </w:rPr>
      </w:pPr>
      <w:r w:rsidRPr="00AF01AC">
        <w:rPr>
          <w:b/>
        </w:rPr>
        <w:t>Attendance Policies (Absences and Absences from Examinations):</w:t>
      </w:r>
    </w:p>
    <w:p w:rsidR="00AF01AC" w:rsidRDefault="00AF01AC" w:rsidP="00AF01AC">
      <w:r>
        <w:rPr>
          <w:rFonts w:ascii="Cambria Math" w:hAnsi="Cambria Math"/>
          <w:b/>
        </w:rPr>
        <w:t>•</w:t>
      </w:r>
      <w:r>
        <w:rPr>
          <w:b/>
        </w:rPr>
        <w:t xml:space="preserve"> </w:t>
      </w:r>
      <w:r w:rsidRPr="00AF01AC">
        <w:t xml:space="preserve">Absences: </w:t>
      </w:r>
      <w:r>
        <w:t>Students</w:t>
      </w:r>
      <w:r w:rsidRPr="00AF01AC">
        <w:t xml:space="preserve"> should understand that they are responsible for the academic consequences of absence and that instructors may set specific policies about absence for individual courses.</w:t>
      </w:r>
    </w:p>
    <w:p w:rsidR="00145D84" w:rsidRDefault="00AF01AC" w:rsidP="00145D84">
      <w:r>
        <w:rPr>
          <w:rFonts w:ascii="Cambria Math" w:hAnsi="Cambria Math"/>
          <w:b/>
        </w:rPr>
        <w:t>•</w:t>
      </w:r>
      <w:r>
        <w:rPr>
          <w:b/>
        </w:rPr>
        <w:t xml:space="preserve"> </w:t>
      </w:r>
      <w:r w:rsidRPr="00AF01AC">
        <w:t>Absences from Examinations: A student who fails to take any required midterm or final examination at the scheduled time may not make up the examination without written permission from a dean in the Office for Undergraduate Education. Permission will be granted only for illness or other compelling reasons, such as participation in scheduled events off-campus as an official representative of the University. A student who takes any part of a final examination ordinarily will not be allowed to defer or retake that final. Deferred examinations must be taken during the student’s next semester of residence by the last date for deferred examinations in the academic calendar or within twelve months if the student does not re-enroll in the college. Failure to take a deferred examination by the appropriate deadline will result automatically in the grade IF or IU.</w:t>
      </w:r>
    </w:p>
    <w:p w:rsidR="00BD2E77" w:rsidRPr="00A608EC" w:rsidRDefault="00BD2E77" w:rsidP="00145D84">
      <w:pPr>
        <w:rPr>
          <w:sz w:val="16"/>
          <w:szCs w:val="16"/>
        </w:rPr>
      </w:pPr>
    </w:p>
    <w:p w:rsidR="00A608EC" w:rsidRPr="00F92991" w:rsidRDefault="00A608EC" w:rsidP="00A608EC">
      <w:pPr>
        <w:jc w:val="center"/>
        <w:rPr>
          <w:b/>
        </w:rPr>
      </w:pPr>
      <w:r w:rsidRPr="00F92991">
        <w:rPr>
          <w:b/>
          <w:u w:val="single"/>
        </w:rPr>
        <w:t>The Honor System in Emory College</w:t>
      </w:r>
    </w:p>
    <w:p w:rsidR="00A608EC" w:rsidRPr="00872DB8" w:rsidRDefault="00A608EC" w:rsidP="00A608EC">
      <w:r w:rsidRPr="00872DB8">
        <w:rPr>
          <w:u w:val="single"/>
        </w:rPr>
        <w:t>Exams</w:t>
      </w:r>
      <w:r w:rsidRPr="00872DB8">
        <w:t>:</w:t>
      </w:r>
    </w:p>
    <w:p w:rsidR="00A608EC" w:rsidRPr="00872DB8" w:rsidRDefault="00A608EC" w:rsidP="00A608EC">
      <w:r w:rsidRPr="00872DB8">
        <w:t xml:space="preserve">If </w:t>
      </w:r>
      <w:r>
        <w:t>the instructor</w:t>
      </w:r>
      <w:r w:rsidRPr="00872DB8">
        <w:t xml:space="preserve"> see</w:t>
      </w:r>
      <w:r>
        <w:t>s</w:t>
      </w:r>
      <w:r w:rsidRPr="00872DB8">
        <w:t xml:space="preserve"> suspicious behavior during an exam, </w:t>
      </w:r>
      <w:r>
        <w:t>he/she is</w:t>
      </w:r>
      <w:r w:rsidRPr="00872DB8">
        <w:t xml:space="preserve"> entitled to intervene, by asking the student to move to another seat or change places with someone in</w:t>
      </w:r>
      <w:r>
        <w:t xml:space="preserve"> a different part of the room. The instructor is</w:t>
      </w:r>
      <w:r w:rsidRPr="00872DB8">
        <w:t xml:space="preserve"> also entitled to specify where students shall sit, and to require them to clear their desks of all materials except those directly related to taking the exam.</w:t>
      </w:r>
    </w:p>
    <w:p w:rsidR="00A608EC" w:rsidRPr="004C198D" w:rsidRDefault="00A608EC" w:rsidP="00A608EC">
      <w:pPr>
        <w:rPr>
          <w:sz w:val="16"/>
          <w:szCs w:val="16"/>
        </w:rPr>
      </w:pPr>
    </w:p>
    <w:p w:rsidR="00A608EC" w:rsidRPr="00872DB8" w:rsidRDefault="00A608EC" w:rsidP="00A608EC">
      <w:r w:rsidRPr="00872DB8">
        <w:rPr>
          <w:u w:val="single"/>
        </w:rPr>
        <w:t>Plagiarism</w:t>
      </w:r>
      <w:r w:rsidRPr="00872DB8">
        <w:t>:</w:t>
      </w:r>
    </w:p>
    <w:p w:rsidR="00A608EC" w:rsidRPr="00872DB8" w:rsidRDefault="00A608EC" w:rsidP="00A608EC">
      <w:r w:rsidRPr="00872DB8">
        <w:t>Plagiarism is a violation of the Honor Code whether it is intentional or not.  Nevertheless, students accused of plagiarism, especially those from abro</w:t>
      </w:r>
      <w:r>
        <w:t>ad, regularly plead ignorance. The instructor is</w:t>
      </w:r>
      <w:r w:rsidRPr="00872DB8">
        <w:t xml:space="preserve">, therefore, strongly encouraged to go over with </w:t>
      </w:r>
      <w:r>
        <w:t>his/her</w:t>
      </w:r>
      <w:r w:rsidRPr="00872DB8">
        <w:t xml:space="preserve"> class the rules relating to originality, footnoting, and avoidance of plagiarism when giving writing assignments.</w:t>
      </w:r>
    </w:p>
    <w:p w:rsidR="008F6701" w:rsidRDefault="008F6701" w:rsidP="00A608EC">
      <w:pPr>
        <w:rPr>
          <w:sz w:val="16"/>
          <w:szCs w:val="16"/>
        </w:rPr>
      </w:pPr>
    </w:p>
    <w:p w:rsidR="00643C52" w:rsidRDefault="00643C52" w:rsidP="00A608EC">
      <w:pPr>
        <w:rPr>
          <w:sz w:val="16"/>
          <w:szCs w:val="16"/>
        </w:rPr>
      </w:pPr>
    </w:p>
    <w:p w:rsidR="00643C52" w:rsidRDefault="00643C52" w:rsidP="00A608EC">
      <w:pPr>
        <w:rPr>
          <w:sz w:val="16"/>
          <w:szCs w:val="16"/>
        </w:rPr>
      </w:pPr>
    </w:p>
    <w:p w:rsidR="00643C52" w:rsidRPr="004C198D" w:rsidRDefault="00643C52" w:rsidP="00A608EC">
      <w:pPr>
        <w:rPr>
          <w:sz w:val="16"/>
          <w:szCs w:val="16"/>
        </w:rPr>
      </w:pPr>
    </w:p>
    <w:p w:rsidR="00A608EC" w:rsidRPr="00872DB8" w:rsidRDefault="00A608EC" w:rsidP="00A608EC">
      <w:r w:rsidRPr="00872DB8">
        <w:rPr>
          <w:u w:val="single"/>
        </w:rPr>
        <w:t>Collaboration:</w:t>
      </w:r>
    </w:p>
    <w:p w:rsidR="00A608EC" w:rsidRPr="00872DB8" w:rsidRDefault="00A608EC" w:rsidP="00A608EC">
      <w:r w:rsidRPr="00872DB8">
        <w:t xml:space="preserve">Many honor council cases relate to collaboration.  If </w:t>
      </w:r>
      <w:r>
        <w:t>the instructor</w:t>
      </w:r>
      <w:r w:rsidRPr="00872DB8">
        <w:t xml:space="preserve"> require</w:t>
      </w:r>
      <w:r>
        <w:t>s</w:t>
      </w:r>
      <w:r w:rsidRPr="00872DB8">
        <w:t xml:space="preserve"> students to collaborate on, for example, a laboratory experiment, but then require each to submit his or her own written report on the experiment, please go over the rules carefully beforehand to minimize ambiguities.</w:t>
      </w:r>
    </w:p>
    <w:p w:rsidR="00F14D33" w:rsidRPr="004C198D" w:rsidRDefault="00F14D33" w:rsidP="00A608EC">
      <w:pPr>
        <w:rPr>
          <w:sz w:val="16"/>
          <w:szCs w:val="16"/>
        </w:rPr>
      </w:pPr>
    </w:p>
    <w:p w:rsidR="00A608EC" w:rsidRPr="00872DB8" w:rsidRDefault="00A608EC" w:rsidP="00A608EC">
      <w:r>
        <w:rPr>
          <w:u w:val="single"/>
        </w:rPr>
        <w:t xml:space="preserve">Emory University’s </w:t>
      </w:r>
      <w:r w:rsidRPr="00872DB8">
        <w:rPr>
          <w:u w:val="single"/>
        </w:rPr>
        <w:t>Honor Code</w:t>
      </w:r>
    </w:p>
    <w:p w:rsidR="00A608EC" w:rsidRPr="004C198D" w:rsidRDefault="00A608EC" w:rsidP="00A608EC">
      <w:pPr>
        <w:rPr>
          <w:sz w:val="16"/>
          <w:szCs w:val="16"/>
        </w:rPr>
      </w:pPr>
    </w:p>
    <w:p w:rsidR="00A608EC" w:rsidRPr="00872DB8" w:rsidRDefault="00A608EC" w:rsidP="008F6701">
      <w:pPr>
        <w:ind w:left="720"/>
        <w:rPr>
          <w:sz w:val="28"/>
          <w:szCs w:val="28"/>
        </w:rPr>
      </w:pPr>
      <w:r>
        <w:rPr>
          <w:sz w:val="28"/>
          <w:szCs w:val="28"/>
        </w:rPr>
        <w:t>“</w:t>
      </w:r>
      <w:r w:rsidRPr="00872DB8">
        <w:rPr>
          <w:sz w:val="28"/>
          <w:szCs w:val="28"/>
        </w:rPr>
        <w:t>The honor code is in effect throughout the semester.  By taking this course, you affirm that it is a violation of the code to cheat on exams, to plagiarize, to deviate from the teacher’s instructions about collaboration on work that is submitted for grades, to give false information to a faculty member, and to undertake any other form of academic misconduct.  You agree that the teacher is entitled to move you to another seat during examinations, without explanation.  You also affirm that if you witness others violating the code you have a duty to report them to the honor council.</w:t>
      </w:r>
      <w:r>
        <w:rPr>
          <w:sz w:val="28"/>
          <w:szCs w:val="28"/>
        </w:rPr>
        <w:t>”</w:t>
      </w:r>
      <w:r w:rsidRPr="00872DB8">
        <w:rPr>
          <w:sz w:val="28"/>
          <w:szCs w:val="28"/>
        </w:rPr>
        <w:t xml:space="preserve"> </w:t>
      </w:r>
    </w:p>
    <w:p w:rsidR="00A608EC" w:rsidRPr="004C198D" w:rsidRDefault="00A608EC" w:rsidP="00A608EC">
      <w:pPr>
        <w:rPr>
          <w:sz w:val="16"/>
          <w:szCs w:val="16"/>
        </w:rPr>
      </w:pPr>
    </w:p>
    <w:p w:rsidR="00A608EC" w:rsidRPr="003C72B8" w:rsidRDefault="00A608EC" w:rsidP="00A608EC">
      <w:r>
        <w:t>Students</w:t>
      </w:r>
      <w:r w:rsidRPr="00872DB8">
        <w:t xml:space="preserve"> </w:t>
      </w:r>
      <w:r>
        <w:t>should be</w:t>
      </w:r>
      <w:r w:rsidRPr="00872DB8">
        <w:t xml:space="preserve"> fully aware, from the beginning of the semester, of the code and its provisions, and that they explicitly agreed to these provisions.</w:t>
      </w:r>
    </w:p>
    <w:p w:rsidR="00E67F89" w:rsidRPr="00A608EC" w:rsidRDefault="00E67F89" w:rsidP="00AF01AC">
      <w:pPr>
        <w:rPr>
          <w:sz w:val="16"/>
          <w:szCs w:val="16"/>
        </w:rPr>
      </w:pPr>
    </w:p>
    <w:p w:rsidR="00E67F89" w:rsidRPr="00872DB8" w:rsidRDefault="00E67F89" w:rsidP="00AF01AC">
      <w:r w:rsidRPr="00872DB8">
        <w:t>The code itself can be found here, and you are strongly encouraged to learn its rules:</w:t>
      </w:r>
    </w:p>
    <w:p w:rsidR="00E67F89" w:rsidRPr="00872DB8" w:rsidRDefault="00543958" w:rsidP="00AF01AC">
      <w:pPr>
        <w:rPr>
          <w:sz w:val="22"/>
          <w:szCs w:val="22"/>
        </w:rPr>
      </w:pPr>
      <w:hyperlink r:id="rId14" w:tgtFrame="_blank" w:history="1">
        <w:r w:rsidR="00E67F89" w:rsidRPr="00872DB8">
          <w:rPr>
            <w:rStyle w:val="Hyperlink"/>
            <w:sz w:val="22"/>
            <w:szCs w:val="22"/>
          </w:rPr>
          <w:t>http://college.emory.edu/home/academic/policy/honor_code.html</w:t>
        </w:r>
      </w:hyperlink>
      <w:r w:rsidR="00E67F89" w:rsidRPr="00872DB8">
        <w:t xml:space="preserve">. More information about the investigation and hearing process can be found at the Honor Council website: </w:t>
      </w:r>
      <w:hyperlink r:id="rId15" w:history="1">
        <w:r w:rsidR="00E67F89" w:rsidRPr="00872DB8">
          <w:rPr>
            <w:rStyle w:val="Hyperlink"/>
            <w:sz w:val="22"/>
            <w:szCs w:val="22"/>
          </w:rPr>
          <w:t>http://college.emory.edu/home/academic/honor-council/index.html</w:t>
        </w:r>
      </w:hyperlink>
      <w:r w:rsidR="00E67F89" w:rsidRPr="00872DB8">
        <w:t xml:space="preserve">. </w:t>
      </w:r>
    </w:p>
    <w:p w:rsidR="00E67F89" w:rsidRPr="00872DB8" w:rsidRDefault="00E67F89" w:rsidP="00AF01AC"/>
    <w:sectPr w:rsidR="00E67F89" w:rsidRPr="00872DB8" w:rsidSect="003552C7">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DD" w:rsidRDefault="005A41DD" w:rsidP="00F96445">
      <w:r>
        <w:separator/>
      </w:r>
    </w:p>
  </w:endnote>
  <w:endnote w:type="continuationSeparator" w:id="0">
    <w:p w:rsidR="005A41DD" w:rsidRDefault="005A41DD" w:rsidP="00F9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DD" w:rsidRDefault="005A41DD">
    <w:pPr>
      <w:pStyle w:val="Footer"/>
      <w:jc w:val="center"/>
    </w:pPr>
    <w:r>
      <w:fldChar w:fldCharType="begin"/>
    </w:r>
    <w:r>
      <w:instrText xml:space="preserve"> PAGE   \* MERGEFORMAT </w:instrText>
    </w:r>
    <w:r>
      <w:fldChar w:fldCharType="separate"/>
    </w:r>
    <w:r w:rsidR="00543958">
      <w:rPr>
        <w:noProof/>
      </w:rPr>
      <w:t>1</w:t>
    </w:r>
    <w:r>
      <w:fldChar w:fldCharType="end"/>
    </w:r>
  </w:p>
  <w:p w:rsidR="005A41DD" w:rsidRDefault="005A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DD" w:rsidRDefault="005A41DD" w:rsidP="00F96445">
      <w:r>
        <w:separator/>
      </w:r>
    </w:p>
  </w:footnote>
  <w:footnote w:type="continuationSeparator" w:id="0">
    <w:p w:rsidR="005A41DD" w:rsidRDefault="005A41DD" w:rsidP="00F96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4B90"/>
    <w:multiLevelType w:val="hybridMultilevel"/>
    <w:tmpl w:val="262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94B45"/>
    <w:multiLevelType w:val="hybridMultilevel"/>
    <w:tmpl w:val="05D076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FAC0D57"/>
    <w:multiLevelType w:val="hybridMultilevel"/>
    <w:tmpl w:val="479A3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58115C"/>
    <w:multiLevelType w:val="hybridMultilevel"/>
    <w:tmpl w:val="4FE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E3B60"/>
    <w:multiLevelType w:val="hybridMultilevel"/>
    <w:tmpl w:val="88A46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A4"/>
    <w:rsid w:val="00031A88"/>
    <w:rsid w:val="0007610D"/>
    <w:rsid w:val="000911D9"/>
    <w:rsid w:val="000A3DE7"/>
    <w:rsid w:val="000E18DC"/>
    <w:rsid w:val="00106B96"/>
    <w:rsid w:val="00107354"/>
    <w:rsid w:val="001207E7"/>
    <w:rsid w:val="00145D84"/>
    <w:rsid w:val="00147CA4"/>
    <w:rsid w:val="00164C32"/>
    <w:rsid w:val="00174051"/>
    <w:rsid w:val="00184979"/>
    <w:rsid w:val="0019415F"/>
    <w:rsid w:val="001B7A20"/>
    <w:rsid w:val="001C685A"/>
    <w:rsid w:val="00200DD1"/>
    <w:rsid w:val="00224009"/>
    <w:rsid w:val="002269F1"/>
    <w:rsid w:val="00254025"/>
    <w:rsid w:val="00264418"/>
    <w:rsid w:val="002B7F7C"/>
    <w:rsid w:val="002C69BD"/>
    <w:rsid w:val="002D6271"/>
    <w:rsid w:val="0031301D"/>
    <w:rsid w:val="00333716"/>
    <w:rsid w:val="00337DAA"/>
    <w:rsid w:val="00347DEE"/>
    <w:rsid w:val="003552C7"/>
    <w:rsid w:val="00377834"/>
    <w:rsid w:val="003A776D"/>
    <w:rsid w:val="003C6A50"/>
    <w:rsid w:val="003F6B57"/>
    <w:rsid w:val="004030DA"/>
    <w:rsid w:val="004356F3"/>
    <w:rsid w:val="004357BE"/>
    <w:rsid w:val="00450B66"/>
    <w:rsid w:val="0045229C"/>
    <w:rsid w:val="00482C70"/>
    <w:rsid w:val="00485326"/>
    <w:rsid w:val="00497603"/>
    <w:rsid w:val="004B082A"/>
    <w:rsid w:val="004C2A04"/>
    <w:rsid w:val="004D0761"/>
    <w:rsid w:val="004F5021"/>
    <w:rsid w:val="00543958"/>
    <w:rsid w:val="00555E13"/>
    <w:rsid w:val="005575B7"/>
    <w:rsid w:val="005830B6"/>
    <w:rsid w:val="00587C3F"/>
    <w:rsid w:val="005A41DD"/>
    <w:rsid w:val="005B166D"/>
    <w:rsid w:val="0061204A"/>
    <w:rsid w:val="00632A5D"/>
    <w:rsid w:val="006342D4"/>
    <w:rsid w:val="00643C52"/>
    <w:rsid w:val="00656850"/>
    <w:rsid w:val="00662B05"/>
    <w:rsid w:val="006961CB"/>
    <w:rsid w:val="00697B5D"/>
    <w:rsid w:val="006A23F0"/>
    <w:rsid w:val="006C17A5"/>
    <w:rsid w:val="006C4B81"/>
    <w:rsid w:val="006C7E88"/>
    <w:rsid w:val="007062A9"/>
    <w:rsid w:val="00712FEC"/>
    <w:rsid w:val="007215A0"/>
    <w:rsid w:val="007378F0"/>
    <w:rsid w:val="00743F67"/>
    <w:rsid w:val="00753E5F"/>
    <w:rsid w:val="00791761"/>
    <w:rsid w:val="007D3276"/>
    <w:rsid w:val="007E3CEF"/>
    <w:rsid w:val="007F229B"/>
    <w:rsid w:val="00801799"/>
    <w:rsid w:val="008307EA"/>
    <w:rsid w:val="00840F27"/>
    <w:rsid w:val="0089368B"/>
    <w:rsid w:val="008A0AF7"/>
    <w:rsid w:val="008A40F2"/>
    <w:rsid w:val="008D334E"/>
    <w:rsid w:val="008D5D91"/>
    <w:rsid w:val="008F2888"/>
    <w:rsid w:val="008F6701"/>
    <w:rsid w:val="009306CC"/>
    <w:rsid w:val="00936C25"/>
    <w:rsid w:val="00952E29"/>
    <w:rsid w:val="00981A48"/>
    <w:rsid w:val="009A3266"/>
    <w:rsid w:val="009D50B7"/>
    <w:rsid w:val="009F1F29"/>
    <w:rsid w:val="00A17E61"/>
    <w:rsid w:val="00A24A8A"/>
    <w:rsid w:val="00A52C1C"/>
    <w:rsid w:val="00A608EC"/>
    <w:rsid w:val="00A809F3"/>
    <w:rsid w:val="00A85BCE"/>
    <w:rsid w:val="00A85D37"/>
    <w:rsid w:val="00A931A9"/>
    <w:rsid w:val="00A97374"/>
    <w:rsid w:val="00AD64DF"/>
    <w:rsid w:val="00AD675C"/>
    <w:rsid w:val="00AF01AC"/>
    <w:rsid w:val="00AF14E3"/>
    <w:rsid w:val="00B075E6"/>
    <w:rsid w:val="00B35539"/>
    <w:rsid w:val="00B37398"/>
    <w:rsid w:val="00B40A90"/>
    <w:rsid w:val="00B730EE"/>
    <w:rsid w:val="00B80A1B"/>
    <w:rsid w:val="00B84B98"/>
    <w:rsid w:val="00B927A8"/>
    <w:rsid w:val="00BA022E"/>
    <w:rsid w:val="00BA298B"/>
    <w:rsid w:val="00BA5780"/>
    <w:rsid w:val="00BA6E5C"/>
    <w:rsid w:val="00BB7F33"/>
    <w:rsid w:val="00BD0EF6"/>
    <w:rsid w:val="00BD1237"/>
    <w:rsid w:val="00BD2E77"/>
    <w:rsid w:val="00C15496"/>
    <w:rsid w:val="00C22B22"/>
    <w:rsid w:val="00C312ED"/>
    <w:rsid w:val="00C63235"/>
    <w:rsid w:val="00C72F6A"/>
    <w:rsid w:val="00C93D6E"/>
    <w:rsid w:val="00CD26A6"/>
    <w:rsid w:val="00CD3D79"/>
    <w:rsid w:val="00CD79FB"/>
    <w:rsid w:val="00D001B2"/>
    <w:rsid w:val="00D02F21"/>
    <w:rsid w:val="00D053A7"/>
    <w:rsid w:val="00D30291"/>
    <w:rsid w:val="00D60AFE"/>
    <w:rsid w:val="00D614A8"/>
    <w:rsid w:val="00D71FB5"/>
    <w:rsid w:val="00D7748D"/>
    <w:rsid w:val="00D879DC"/>
    <w:rsid w:val="00D96BA8"/>
    <w:rsid w:val="00DA2CF6"/>
    <w:rsid w:val="00E51DF3"/>
    <w:rsid w:val="00E6217C"/>
    <w:rsid w:val="00E67F89"/>
    <w:rsid w:val="00EB3298"/>
    <w:rsid w:val="00EB7CF8"/>
    <w:rsid w:val="00EF34CB"/>
    <w:rsid w:val="00EF7333"/>
    <w:rsid w:val="00F14D33"/>
    <w:rsid w:val="00F22D2A"/>
    <w:rsid w:val="00F46DE0"/>
    <w:rsid w:val="00F60014"/>
    <w:rsid w:val="00F96445"/>
    <w:rsid w:val="00FC3048"/>
    <w:rsid w:val="00FC5F2C"/>
    <w:rsid w:val="00FE7D8B"/>
    <w:rsid w:val="00FF03E6"/>
    <w:rsid w:val="00FF29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CFAD9F-F5EB-4BD7-9F16-51B4DACA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6CC"/>
    <w:rPr>
      <w:sz w:val="24"/>
      <w:szCs w:val="24"/>
    </w:rPr>
  </w:style>
  <w:style w:type="paragraph" w:styleId="Heading2">
    <w:name w:val="heading 2"/>
    <w:basedOn w:val="Normal"/>
    <w:link w:val="Heading2Char"/>
    <w:uiPriority w:val="9"/>
    <w:qFormat/>
    <w:rsid w:val="00B35539"/>
    <w:pPr>
      <w:spacing w:before="240" w:after="120" w:line="600" w:lineRule="atLeast"/>
      <w:outlineLvl w:val="1"/>
    </w:pPr>
    <w:rPr>
      <w:rFonts w:ascii="Georgia" w:hAnsi="Georgia"/>
      <w:color w:val="181818"/>
      <w:sz w:val="48"/>
      <w:szCs w:val="48"/>
    </w:rPr>
  </w:style>
  <w:style w:type="paragraph" w:styleId="Heading3">
    <w:name w:val="heading 3"/>
    <w:basedOn w:val="Normal"/>
    <w:next w:val="Normal"/>
    <w:link w:val="Heading3Char"/>
    <w:unhideWhenUsed/>
    <w:qFormat/>
    <w:rsid w:val="00AF0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3235"/>
    <w:rPr>
      <w:color w:val="0000FF"/>
      <w:u w:val="single"/>
    </w:rPr>
  </w:style>
  <w:style w:type="paragraph" w:styleId="Header">
    <w:name w:val="header"/>
    <w:basedOn w:val="Normal"/>
    <w:link w:val="HeaderChar"/>
    <w:rsid w:val="00F96445"/>
    <w:pPr>
      <w:tabs>
        <w:tab w:val="center" w:pos="4680"/>
        <w:tab w:val="right" w:pos="9360"/>
      </w:tabs>
    </w:pPr>
  </w:style>
  <w:style w:type="character" w:customStyle="1" w:styleId="HeaderChar">
    <w:name w:val="Header Char"/>
    <w:link w:val="Header"/>
    <w:rsid w:val="00F96445"/>
    <w:rPr>
      <w:sz w:val="24"/>
      <w:szCs w:val="24"/>
      <w:lang w:eastAsia="en-US"/>
    </w:rPr>
  </w:style>
  <w:style w:type="paragraph" w:styleId="Footer">
    <w:name w:val="footer"/>
    <w:basedOn w:val="Normal"/>
    <w:link w:val="FooterChar"/>
    <w:uiPriority w:val="99"/>
    <w:rsid w:val="00F96445"/>
    <w:pPr>
      <w:tabs>
        <w:tab w:val="center" w:pos="4680"/>
        <w:tab w:val="right" w:pos="9360"/>
      </w:tabs>
    </w:pPr>
  </w:style>
  <w:style w:type="character" w:customStyle="1" w:styleId="FooterChar">
    <w:name w:val="Footer Char"/>
    <w:link w:val="Footer"/>
    <w:uiPriority w:val="99"/>
    <w:rsid w:val="00F96445"/>
    <w:rPr>
      <w:sz w:val="24"/>
      <w:szCs w:val="24"/>
      <w:lang w:eastAsia="en-US"/>
    </w:rPr>
  </w:style>
  <w:style w:type="character" w:customStyle="1" w:styleId="Heading2Char">
    <w:name w:val="Heading 2 Char"/>
    <w:link w:val="Heading2"/>
    <w:uiPriority w:val="9"/>
    <w:rsid w:val="00B35539"/>
    <w:rPr>
      <w:rFonts w:ascii="Georgia" w:hAnsi="Georgia"/>
      <w:color w:val="181818"/>
      <w:sz w:val="48"/>
      <w:szCs w:val="48"/>
    </w:rPr>
  </w:style>
  <w:style w:type="paragraph" w:styleId="NormalWeb">
    <w:name w:val="Normal (Web)"/>
    <w:basedOn w:val="Normal"/>
    <w:uiPriority w:val="99"/>
    <w:unhideWhenUsed/>
    <w:rsid w:val="00B35539"/>
    <w:pPr>
      <w:spacing w:after="300"/>
    </w:pPr>
    <w:rPr>
      <w:lang w:eastAsia="ko-KR"/>
    </w:rPr>
  </w:style>
  <w:style w:type="paragraph" w:styleId="ListParagraph">
    <w:name w:val="List Paragraph"/>
    <w:basedOn w:val="Normal"/>
    <w:uiPriority w:val="34"/>
    <w:qFormat/>
    <w:rsid w:val="00AF01AC"/>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AF01AC"/>
    <w:rPr>
      <w:rFonts w:asciiTheme="majorHAnsi" w:eastAsiaTheme="majorEastAsia" w:hAnsiTheme="majorHAnsi" w:cstheme="majorBidi"/>
      <w:b/>
      <w:bCs/>
      <w:color w:val="4F81BD" w:themeColor="accent1"/>
      <w:sz w:val="24"/>
      <w:szCs w:val="24"/>
    </w:rPr>
  </w:style>
  <w:style w:type="table" w:styleId="TableGrid">
    <w:name w:val="Table Grid"/>
    <w:basedOn w:val="TableNormal"/>
    <w:rsid w:val="009D5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4311">
      <w:bodyDiv w:val="1"/>
      <w:marLeft w:val="0"/>
      <w:marRight w:val="0"/>
      <w:marTop w:val="0"/>
      <w:marBottom w:val="0"/>
      <w:divBdr>
        <w:top w:val="none" w:sz="0" w:space="0" w:color="auto"/>
        <w:left w:val="none" w:sz="0" w:space="0" w:color="auto"/>
        <w:bottom w:val="none" w:sz="0" w:space="0" w:color="auto"/>
        <w:right w:val="none" w:sz="0" w:space="0" w:color="auto"/>
      </w:divBdr>
      <w:divsChild>
        <w:div w:id="1035544356">
          <w:marLeft w:val="0"/>
          <w:marRight w:val="0"/>
          <w:marTop w:val="0"/>
          <w:marBottom w:val="0"/>
          <w:divBdr>
            <w:top w:val="none" w:sz="0" w:space="0" w:color="auto"/>
            <w:left w:val="none" w:sz="0" w:space="0" w:color="auto"/>
            <w:bottom w:val="none" w:sz="0" w:space="0" w:color="auto"/>
            <w:right w:val="none" w:sz="0" w:space="0" w:color="auto"/>
          </w:divBdr>
          <w:divsChild>
            <w:div w:id="252518701">
              <w:marLeft w:val="0"/>
              <w:marRight w:val="0"/>
              <w:marTop w:val="0"/>
              <w:marBottom w:val="0"/>
              <w:divBdr>
                <w:top w:val="none" w:sz="0" w:space="0" w:color="auto"/>
                <w:left w:val="none" w:sz="0" w:space="0" w:color="auto"/>
                <w:bottom w:val="none" w:sz="0" w:space="0" w:color="auto"/>
                <w:right w:val="none" w:sz="0" w:space="0" w:color="auto"/>
              </w:divBdr>
              <w:divsChild>
                <w:div w:id="9635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g.hwa.kim@emory.edu" TargetMode="External"/><Relationship Id="rId13" Type="http://schemas.openxmlformats.org/officeDocument/2006/relationships/hyperlink" Target="http://college.emory.edu/advis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llege.emory.edu/home/administration/office/undergraduate/hour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llege.emory.edu/home/academic/catalog/index.html" TargetMode="External"/><Relationship Id="rId5" Type="http://schemas.openxmlformats.org/officeDocument/2006/relationships/webSettings" Target="webSettings.xml"/><Relationship Id="rId15" Type="http://schemas.openxmlformats.org/officeDocument/2006/relationships/hyperlink" Target="http://college.emory.edu/home/academic/honor-council/index.html" TargetMode="Externa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s://owa.emory.edu/owa/redir.aspx?C=I9AHHGA22Ui2A4IQI-rIDssW_ztQss8Ii_0UF8C7iy1HM68_5teKulQs7mFQgLsLW-_jEbMITdA.&amp;URL=http%3a%2f%2fcollege.emory.edu%2fhome%2facademic%2fpolicy%2fhonor_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89A49-75EB-43E0-B7CB-5CFC86CA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2105</Words>
  <Characters>12003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Professor Kim</vt:lpstr>
    </vt:vector>
  </TitlesOfParts>
  <Company>Emory University</Company>
  <LinksUpToDate>false</LinksUpToDate>
  <CharactersWithSpaces>14080</CharactersWithSpaces>
  <SharedDoc>false</SharedDoc>
  <HLinks>
    <vt:vector size="24" baseType="variant">
      <vt:variant>
        <vt:i4>4653128</vt:i4>
      </vt:variant>
      <vt:variant>
        <vt:i4>9</vt:i4>
      </vt:variant>
      <vt:variant>
        <vt:i4>0</vt:i4>
      </vt:variant>
      <vt:variant>
        <vt:i4>5</vt:i4>
      </vt:variant>
      <vt:variant>
        <vt:lpwstr>http://www.fmylife.com/money/5333449</vt:lpwstr>
      </vt:variant>
      <vt:variant>
        <vt:lpwstr/>
      </vt:variant>
      <vt:variant>
        <vt:i4>6226010</vt:i4>
      </vt:variant>
      <vt:variant>
        <vt:i4>6</vt:i4>
      </vt:variant>
      <vt:variant>
        <vt:i4>0</vt:i4>
      </vt:variant>
      <vt:variant>
        <vt:i4>5</vt:i4>
      </vt:variant>
      <vt:variant>
        <vt:lpwstr>http://www.r-project.org/</vt:lpwstr>
      </vt:variant>
      <vt:variant>
        <vt:lpwstr/>
      </vt:variant>
      <vt:variant>
        <vt:i4>2883618</vt:i4>
      </vt:variant>
      <vt:variant>
        <vt:i4>3</vt:i4>
      </vt:variant>
      <vt:variant>
        <vt:i4>0</vt:i4>
      </vt:variant>
      <vt:variant>
        <vt:i4>5</vt:i4>
      </vt:variant>
      <vt:variant>
        <vt:lpwstr>http://www.pearsonhighered.com/newbold</vt:lpwstr>
      </vt:variant>
      <vt:variant>
        <vt:lpwstr/>
      </vt:variant>
      <vt:variant>
        <vt:i4>7143518</vt:i4>
      </vt:variant>
      <vt:variant>
        <vt:i4>0</vt:i4>
      </vt:variant>
      <vt:variant>
        <vt:i4>0</vt:i4>
      </vt:variant>
      <vt:variant>
        <vt:i4>5</vt:i4>
      </vt:variant>
      <vt:variant>
        <vt:lpwstr>mailto:jhkim@emory.edu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Kim</dc:title>
  <dc:creator>Jong Kim</dc:creator>
  <cp:lastModifiedBy>Browne, Marie P</cp:lastModifiedBy>
  <cp:revision>2</cp:revision>
  <dcterms:created xsi:type="dcterms:W3CDTF">2017-08-22T13:59:00Z</dcterms:created>
  <dcterms:modified xsi:type="dcterms:W3CDTF">2017-08-22T13:59:00Z</dcterms:modified>
</cp:coreProperties>
</file>