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FF" w:rsidRPr="00354BF5" w:rsidRDefault="000269EE" w:rsidP="00024BFF">
      <w:pPr>
        <w:rPr>
          <w:rFonts w:ascii="Cambria" w:eastAsia="Times New Roman" w:hAnsi="Cambria" w:cs="Times New Roman"/>
          <w:b/>
          <w:bCs/>
        </w:rPr>
      </w:pPr>
      <w:hyperlink r:id="rId5" w:tgtFrame="_top" w:history="1">
        <w:r w:rsidR="00354BF5" w:rsidRPr="00354BF5">
          <w:rPr>
            <w:rStyle w:val="Hyperlink"/>
            <w:rFonts w:ascii="Lucida Grande" w:hAnsi="Lucida Grande" w:cs="Lucida Grande"/>
            <w:b/>
            <w:color w:val="0500A3"/>
            <w:bdr w:val="none" w:sz="0" w:space="0" w:color="auto" w:frame="1"/>
            <w:shd w:val="clear" w:color="auto" w:fill="FFFFFF"/>
          </w:rPr>
          <w:t>CHN-375/EAS-385/ECON-385 The Political Economy of China (2015 Fall)</w:t>
        </w:r>
      </w:hyperlink>
    </w:p>
    <w:p w:rsidR="00024BFF" w:rsidRDefault="004D27C5" w:rsidP="00024BFF">
      <w:pPr>
        <w:rPr>
          <w:rFonts w:ascii="Cambria" w:eastAsia="Times New Roman" w:hAnsi="Cambria" w:cs="Times New Roman"/>
          <w:bCs/>
        </w:rPr>
      </w:pPr>
      <w:r w:rsidRPr="00C71AE4">
        <w:rPr>
          <w:rFonts w:ascii="Cambria" w:eastAsia="Times New Roman" w:hAnsi="Cambria" w:cs="Times New Roman"/>
          <w:bCs/>
        </w:rPr>
        <w:t xml:space="preserve">Instructor: </w:t>
      </w:r>
      <w:r w:rsidR="00354BF5" w:rsidRPr="00C71AE4">
        <w:rPr>
          <w:rFonts w:ascii="Cambria" w:eastAsia="Times New Roman" w:hAnsi="Cambria" w:cs="Times New Roman"/>
          <w:bCs/>
        </w:rPr>
        <w:t>Ning (Neil) Yu</w:t>
      </w:r>
    </w:p>
    <w:p w:rsidR="00083058" w:rsidRDefault="00083058" w:rsidP="00024BFF">
      <w:pPr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 xml:space="preserve">Email: </w:t>
      </w:r>
      <w:hyperlink r:id="rId6" w:history="1">
        <w:r w:rsidRPr="006D76E9">
          <w:rPr>
            <w:rStyle w:val="Hyperlink"/>
            <w:rFonts w:ascii="Cambria" w:eastAsia="Times New Roman" w:hAnsi="Cambria" w:cs="Times New Roman"/>
            <w:bCs/>
          </w:rPr>
          <w:t>nyu8@emory.edu</w:t>
        </w:r>
      </w:hyperlink>
    </w:p>
    <w:p w:rsidR="006B7F15" w:rsidRPr="00C71AE4" w:rsidRDefault="004D27C5" w:rsidP="00024BFF">
      <w:pPr>
        <w:rPr>
          <w:rFonts w:ascii="Cambria" w:eastAsia="Times New Roman" w:hAnsi="Cambria" w:cs="Times New Roman"/>
          <w:bCs/>
        </w:rPr>
      </w:pPr>
      <w:r w:rsidRPr="00C71AE4">
        <w:rPr>
          <w:rFonts w:ascii="Cambria" w:eastAsia="Times New Roman" w:hAnsi="Cambria" w:cs="Times New Roman"/>
          <w:bCs/>
        </w:rPr>
        <w:t xml:space="preserve">Office: </w:t>
      </w:r>
      <w:r w:rsidR="006B7F15" w:rsidRPr="00C71AE4">
        <w:rPr>
          <w:rFonts w:ascii="Cambria" w:eastAsia="Times New Roman" w:hAnsi="Cambria" w:cs="Times New Roman"/>
          <w:bCs/>
        </w:rPr>
        <w:t>Rich Building RM 322A (1602 Fishburne Drive)</w:t>
      </w:r>
    </w:p>
    <w:p w:rsidR="00024BFF" w:rsidRPr="00C71AE4" w:rsidRDefault="004D27C5" w:rsidP="00024BFF">
      <w:pPr>
        <w:rPr>
          <w:rFonts w:ascii="Cambria" w:eastAsia="Times New Roman" w:hAnsi="Cambria" w:cs="Times New Roman"/>
          <w:bCs/>
        </w:rPr>
      </w:pPr>
      <w:r w:rsidRPr="00C71AE4">
        <w:rPr>
          <w:rFonts w:ascii="Cambria" w:eastAsia="Times New Roman" w:hAnsi="Cambria" w:cs="Times New Roman"/>
          <w:bCs/>
        </w:rPr>
        <w:t>Office Tel.:</w:t>
      </w:r>
      <w:r w:rsidR="00024BFF" w:rsidRPr="00C71AE4">
        <w:rPr>
          <w:rFonts w:ascii="Cambria" w:eastAsia="Times New Roman" w:hAnsi="Cambria" w:cs="Times New Roman"/>
          <w:bCs/>
        </w:rPr>
        <w:t xml:space="preserve"> </w:t>
      </w:r>
      <w:r w:rsidR="006B7F15" w:rsidRPr="00C71AE4">
        <w:rPr>
          <w:rFonts w:ascii="Cambria" w:eastAsia="Times New Roman" w:hAnsi="Cambria" w:cs="Times New Roman"/>
          <w:bCs/>
        </w:rPr>
        <w:t>404-712-9269</w:t>
      </w:r>
    </w:p>
    <w:p w:rsidR="004D27C5" w:rsidRPr="00C71AE4" w:rsidRDefault="004D27C5" w:rsidP="004D27C5">
      <w:pPr>
        <w:rPr>
          <w:color w:val="1F497D"/>
        </w:rPr>
      </w:pPr>
      <w:r w:rsidRPr="00C71AE4">
        <w:rPr>
          <w:rFonts w:ascii="Cambria" w:eastAsia="Times New Roman" w:hAnsi="Cambria" w:cs="Times New Roman"/>
          <w:bCs/>
        </w:rPr>
        <w:t>Office H</w:t>
      </w:r>
      <w:r w:rsidR="00024BFF" w:rsidRPr="00C71AE4">
        <w:rPr>
          <w:rFonts w:ascii="Cambria" w:eastAsia="Times New Roman" w:hAnsi="Cambria" w:cs="Times New Roman"/>
          <w:bCs/>
        </w:rPr>
        <w:t xml:space="preserve">ours: </w:t>
      </w:r>
      <w:r w:rsidRPr="00C71AE4">
        <w:rPr>
          <w:color w:val="1F497D"/>
        </w:rPr>
        <w:t>Monda</w:t>
      </w:r>
      <w:r w:rsidR="001570E2">
        <w:rPr>
          <w:color w:val="1F497D"/>
        </w:rPr>
        <w:t>y 10:00am-11:30am and Thursday 2:30pm-4</w:t>
      </w:r>
      <w:r w:rsidRPr="00C71AE4">
        <w:rPr>
          <w:color w:val="1F497D"/>
        </w:rPr>
        <w:t>:00pm</w:t>
      </w:r>
    </w:p>
    <w:p w:rsidR="00024BFF" w:rsidRPr="00C71AE4" w:rsidRDefault="00024BFF" w:rsidP="00024BFF">
      <w:pPr>
        <w:rPr>
          <w:rFonts w:ascii="Cambria" w:eastAsia="Times New Roman" w:hAnsi="Cambria" w:cs="Times New Roman"/>
          <w:bCs/>
        </w:rPr>
      </w:pPr>
    </w:p>
    <w:p w:rsidR="00A33958" w:rsidRPr="00C71AE4" w:rsidRDefault="00A33958" w:rsidP="00024BFF">
      <w:pPr>
        <w:rPr>
          <w:rFonts w:ascii="Cambria" w:eastAsia="Times New Roman" w:hAnsi="Cambria" w:cs="Times New Roman"/>
        </w:rPr>
      </w:pPr>
      <w:r w:rsidRPr="00C71AE4">
        <w:rPr>
          <w:rFonts w:ascii="Cambria" w:eastAsia="Times New Roman" w:hAnsi="Cambria" w:cs="Times New Roman"/>
          <w:bCs/>
        </w:rPr>
        <w:t>Class: 9</w:t>
      </w:r>
      <w:r w:rsidR="004D27C5" w:rsidRPr="00C71AE4">
        <w:rPr>
          <w:rFonts w:ascii="Cambria" w:eastAsia="Times New Roman" w:hAnsi="Cambria" w:cs="Times New Roman"/>
          <w:bCs/>
        </w:rPr>
        <w:t xml:space="preserve">:00 - </w:t>
      </w:r>
      <w:r w:rsidRPr="00C71AE4">
        <w:rPr>
          <w:rFonts w:ascii="Cambria" w:eastAsia="Times New Roman" w:hAnsi="Cambria" w:cs="Times New Roman"/>
          <w:bCs/>
        </w:rPr>
        <w:t xml:space="preserve">9:50 AM, M-W-F.  </w:t>
      </w:r>
      <w:r w:rsidR="004D27C5" w:rsidRPr="00C71AE4">
        <w:rPr>
          <w:rFonts w:ascii="Cambria" w:eastAsia="Times New Roman" w:hAnsi="Cambria" w:cs="Times New Roman"/>
          <w:bCs/>
        </w:rPr>
        <w:t>Callaway Center C101</w:t>
      </w:r>
    </w:p>
    <w:p w:rsidR="00024BFF" w:rsidRPr="00D57242" w:rsidRDefault="00024BFF" w:rsidP="00024BFF">
      <w:pPr>
        <w:rPr>
          <w:rFonts w:ascii="Cambria" w:eastAsia="Times New Roman" w:hAnsi="Cambria" w:cs="Times New Roman"/>
        </w:rPr>
      </w:pPr>
      <w:r w:rsidRPr="00D57242">
        <w:rPr>
          <w:rFonts w:ascii="Cambria" w:eastAsia="Times New Roman" w:hAnsi="Cambria" w:cs="Times New Roman"/>
          <w:bCs/>
        </w:rPr>
        <w:t> </w:t>
      </w:r>
    </w:p>
    <w:p w:rsidR="00C71AE4" w:rsidRPr="00C71AE4" w:rsidRDefault="00C71AE4" w:rsidP="00024BFF">
      <w:pPr>
        <w:rPr>
          <w:rStyle w:val="Emphasis"/>
          <w:rFonts w:ascii="Verdana" w:hAnsi="Verdana"/>
          <w:color w:val="333333"/>
          <w:shd w:val="clear" w:color="auto" w:fill="FFFFFF"/>
        </w:rPr>
      </w:pPr>
      <w:r w:rsidRPr="00C71AE4">
        <w:rPr>
          <w:rStyle w:val="Emphasis"/>
          <w:rFonts w:ascii="Verdana" w:hAnsi="Verdana"/>
          <w:b/>
          <w:i w:val="0"/>
          <w:color w:val="333333"/>
          <w:shd w:val="clear" w:color="auto" w:fill="FFFFFF"/>
        </w:rPr>
        <w:t>Course Description:</w:t>
      </w:r>
      <w:r w:rsidRPr="00C71AE4">
        <w:rPr>
          <w:rStyle w:val="Emphasis"/>
          <w:rFonts w:ascii="Verdana" w:hAnsi="Verdana"/>
          <w:color w:val="333333"/>
          <w:shd w:val="clear" w:color="auto" w:fill="FFFFFF"/>
        </w:rPr>
        <w:t xml:space="preserve"> This course covers the Economic and Political institutions in China.  A brief history of the political systems and financial institutions and how they have evolved will be presented in the beginning.  Various ec</w:t>
      </w:r>
      <w:r w:rsidR="008812D3">
        <w:rPr>
          <w:rStyle w:val="Emphasis"/>
          <w:rFonts w:ascii="Verdana" w:hAnsi="Verdana"/>
          <w:color w:val="333333"/>
          <w:shd w:val="clear" w:color="auto" w:fill="FFFFFF"/>
        </w:rPr>
        <w:t>onomic reforms within the past 66</w:t>
      </w:r>
      <w:r w:rsidRPr="00C71AE4">
        <w:rPr>
          <w:rStyle w:val="Emphasis"/>
          <w:rFonts w:ascii="Verdana" w:hAnsi="Verdana"/>
          <w:color w:val="333333"/>
          <w:shd w:val="clear" w:color="auto" w:fill="FFFFFF"/>
        </w:rPr>
        <w:t xml:space="preserve"> years and their impacts on standard of living within China and its global relationship are then examined.  The course also discusses various economic &amp; political indicators in China: what they mean, how they have changed in recent year, how they are expected to change in the future.  This is a must take course for anyone interested in having a better understanding of Chinese politics and economics.</w:t>
      </w:r>
    </w:p>
    <w:p w:rsidR="00C71AE4" w:rsidRPr="00C71AE4" w:rsidRDefault="00024BFF" w:rsidP="00024BFF">
      <w:pPr>
        <w:rPr>
          <w:rFonts w:ascii="Cambria" w:hAnsi="Cambria" w:cs="Times"/>
          <w:color w:val="262626"/>
        </w:rPr>
      </w:pPr>
      <w:r w:rsidRPr="00C71AE4">
        <w:rPr>
          <w:rFonts w:ascii="Cambria" w:hAnsi="Cambria" w:cs="Times"/>
          <w:color w:val="262626"/>
        </w:rPr>
        <w:tab/>
      </w:r>
    </w:p>
    <w:p w:rsidR="00024BFF" w:rsidRPr="00C71AE4" w:rsidRDefault="00C71AE4" w:rsidP="00024BFF">
      <w:pPr>
        <w:rPr>
          <w:rFonts w:ascii="Cambria" w:hAnsi="Cambria" w:cs="Times"/>
          <w:color w:val="262626"/>
        </w:rPr>
      </w:pPr>
      <w:r w:rsidRPr="00C71AE4">
        <w:rPr>
          <w:rStyle w:val="Emphasis"/>
          <w:rFonts w:ascii="Verdana" w:hAnsi="Verdana"/>
          <w:b/>
          <w:i w:val="0"/>
          <w:color w:val="333333"/>
          <w:shd w:val="clear" w:color="auto" w:fill="FFFFFF"/>
        </w:rPr>
        <w:t>Prerequisites:</w:t>
      </w:r>
      <w:r w:rsidRPr="00C71AE4">
        <w:rPr>
          <w:rFonts w:ascii="Cambria" w:hAnsi="Cambria" w:cs="Times"/>
          <w:color w:val="262626"/>
        </w:rPr>
        <w:t xml:space="preserve"> </w:t>
      </w:r>
      <w:r w:rsidR="00024BFF" w:rsidRPr="00C71AE4">
        <w:rPr>
          <w:rFonts w:ascii="Cambria" w:hAnsi="Cambria" w:cs="Times"/>
          <w:color w:val="262626"/>
        </w:rPr>
        <w:t xml:space="preserve">No prior background in the study </w:t>
      </w:r>
      <w:r>
        <w:rPr>
          <w:rFonts w:ascii="Cambria" w:hAnsi="Cambria" w:cs="Times"/>
          <w:color w:val="262626"/>
        </w:rPr>
        <w:t xml:space="preserve">of China is expected.  ECON 101 and ECON 112 are </w:t>
      </w:r>
      <w:r w:rsidR="008812D3">
        <w:rPr>
          <w:rFonts w:ascii="Cambria" w:hAnsi="Cambria" w:cs="Times"/>
          <w:color w:val="262626"/>
        </w:rPr>
        <w:t xml:space="preserve">official </w:t>
      </w:r>
      <w:r w:rsidR="00024BFF" w:rsidRPr="00C71AE4">
        <w:rPr>
          <w:rFonts w:ascii="Cambria" w:hAnsi="Cambria" w:cs="Times"/>
          <w:color w:val="262626"/>
        </w:rPr>
        <w:t>prerequisite</w:t>
      </w:r>
      <w:r>
        <w:rPr>
          <w:rFonts w:ascii="Cambria" w:hAnsi="Cambria" w:cs="Times"/>
          <w:color w:val="262626"/>
        </w:rPr>
        <w:t xml:space="preserve">s, but </w:t>
      </w:r>
      <w:r w:rsidR="00393DDD">
        <w:rPr>
          <w:rFonts w:ascii="Cambria" w:hAnsi="Cambria" w:cs="Times"/>
          <w:color w:val="262626"/>
        </w:rPr>
        <w:t>you can ask me to explain key concepts if you either forget or have never learned</w:t>
      </w:r>
      <w:r w:rsidR="00024BFF" w:rsidRPr="00C71AE4">
        <w:rPr>
          <w:rFonts w:ascii="Cambria" w:hAnsi="Cambria" w:cs="Times"/>
          <w:color w:val="262626"/>
        </w:rPr>
        <w:t xml:space="preserve">.  </w:t>
      </w:r>
    </w:p>
    <w:p w:rsidR="00024BFF" w:rsidRPr="00C71AE4" w:rsidRDefault="00024BFF" w:rsidP="00024BFF">
      <w:pPr>
        <w:rPr>
          <w:rFonts w:ascii="Cambria" w:hAnsi="Cambria" w:cs="Times"/>
          <w:color w:val="262626"/>
        </w:rPr>
      </w:pPr>
    </w:p>
    <w:p w:rsidR="00024BFF" w:rsidRPr="00C71AE4" w:rsidRDefault="00C71AE4" w:rsidP="00024BFF">
      <w:pPr>
        <w:rPr>
          <w:rFonts w:ascii="Cambria" w:eastAsia="Times New Roman" w:hAnsi="Cambria" w:cs="Times New Roman"/>
        </w:rPr>
      </w:pPr>
      <w:r w:rsidRPr="00C71AE4">
        <w:rPr>
          <w:rStyle w:val="Emphasis"/>
          <w:rFonts w:ascii="Verdana" w:hAnsi="Verdana"/>
          <w:b/>
          <w:i w:val="0"/>
          <w:color w:val="333333"/>
          <w:shd w:val="clear" w:color="auto" w:fill="FFFFFF"/>
        </w:rPr>
        <w:t>Readings:</w:t>
      </w:r>
      <w:r>
        <w:rPr>
          <w:rStyle w:val="Emphasis"/>
          <w:rFonts w:ascii="Verdana" w:hAnsi="Verdana"/>
          <w:b/>
          <w:color w:val="333333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bCs/>
        </w:rPr>
        <w:t>The Textbook is recommended</w:t>
      </w:r>
      <w:r w:rsidR="004D27C5" w:rsidRPr="00C71AE4">
        <w:rPr>
          <w:rFonts w:ascii="Cambria" w:eastAsia="Times New Roman" w:hAnsi="Cambria" w:cs="Times New Roman"/>
          <w:bCs/>
        </w:rPr>
        <w:t xml:space="preserve"> but not required</w:t>
      </w:r>
      <w:r>
        <w:rPr>
          <w:rFonts w:ascii="Cambria" w:eastAsia="Times New Roman" w:hAnsi="Cambria" w:cs="Times New Roman"/>
          <w:bCs/>
        </w:rPr>
        <w:t>.</w:t>
      </w:r>
    </w:p>
    <w:p w:rsidR="004D27C5" w:rsidRPr="004D27C5" w:rsidRDefault="004D27C5" w:rsidP="004D27C5">
      <w:pPr>
        <w:shd w:val="clear" w:color="auto" w:fill="FFFFFF"/>
        <w:ind w:left="1238"/>
        <w:rPr>
          <w:rFonts w:ascii="Verdana" w:eastAsia="Times New Roman" w:hAnsi="Verdana" w:cs="Times New Roman"/>
          <w:color w:val="222222"/>
          <w:lang w:eastAsia="zh-CN"/>
        </w:rPr>
      </w:pPr>
      <w:r w:rsidRPr="004D27C5">
        <w:rPr>
          <w:rFonts w:ascii="Verdana" w:eastAsia="Times New Roman" w:hAnsi="Verdana" w:cs="Times New Roman"/>
          <w:color w:val="222222"/>
          <w:lang w:eastAsia="zh-CN"/>
        </w:rPr>
        <w:t>Naughton, Barry</w:t>
      </w:r>
    </w:p>
    <w:p w:rsidR="004D27C5" w:rsidRPr="004D27C5" w:rsidRDefault="004D27C5" w:rsidP="004D27C5">
      <w:pPr>
        <w:shd w:val="clear" w:color="auto" w:fill="FFFFFF"/>
        <w:ind w:left="1238"/>
        <w:rPr>
          <w:rFonts w:ascii="Verdana" w:eastAsia="Times New Roman" w:hAnsi="Verdana" w:cs="Times New Roman"/>
          <w:color w:val="222222"/>
          <w:lang w:eastAsia="zh-CN"/>
        </w:rPr>
      </w:pPr>
      <w:r w:rsidRPr="004D27C5">
        <w:rPr>
          <w:rFonts w:ascii="Verdana" w:eastAsia="Times New Roman" w:hAnsi="Verdana" w:cs="Times New Roman"/>
          <w:color w:val="222222"/>
          <w:lang w:eastAsia="zh-CN"/>
        </w:rPr>
        <w:t>The Chinese Economy</w:t>
      </w:r>
      <w:r w:rsidR="00C71AE4">
        <w:rPr>
          <w:rFonts w:ascii="Verdana" w:eastAsia="Times New Roman" w:hAnsi="Verdana" w:cs="Times New Roman"/>
          <w:color w:val="222222"/>
          <w:lang w:eastAsia="zh-CN"/>
        </w:rPr>
        <w:t xml:space="preserve"> </w:t>
      </w:r>
      <w:r w:rsidRPr="004D27C5">
        <w:rPr>
          <w:rFonts w:ascii="Verdana" w:eastAsia="Times New Roman" w:hAnsi="Verdana" w:cs="Times New Roman"/>
          <w:color w:val="222222"/>
          <w:lang w:eastAsia="zh-CN"/>
        </w:rPr>
        <w:t>- Transitions and Growth</w:t>
      </w:r>
    </w:p>
    <w:p w:rsidR="004D27C5" w:rsidRPr="004D27C5" w:rsidRDefault="004D27C5" w:rsidP="004D27C5">
      <w:pPr>
        <w:shd w:val="clear" w:color="auto" w:fill="FFFFFF"/>
        <w:ind w:left="1238"/>
        <w:rPr>
          <w:rFonts w:ascii="Verdana" w:eastAsia="Times New Roman" w:hAnsi="Verdana" w:cs="Times New Roman"/>
          <w:color w:val="222222"/>
          <w:lang w:eastAsia="zh-CN"/>
        </w:rPr>
      </w:pPr>
      <w:r w:rsidRPr="00C71AE4">
        <w:rPr>
          <w:rFonts w:ascii="Verdana" w:eastAsia="Times New Roman" w:hAnsi="Verdana" w:cs="Times New Roman"/>
          <w:bCs/>
          <w:color w:val="222222"/>
          <w:lang w:eastAsia="zh-CN"/>
        </w:rPr>
        <w:t>ISBN</w:t>
      </w:r>
      <w:r w:rsidR="00C71AE4" w:rsidRPr="00C71AE4">
        <w:rPr>
          <w:rFonts w:ascii="Verdana" w:eastAsia="Times New Roman" w:hAnsi="Verdana" w:cs="Times New Roman"/>
          <w:bCs/>
          <w:color w:val="222222"/>
          <w:lang w:eastAsia="zh-CN"/>
        </w:rPr>
        <w:t xml:space="preserve">: </w:t>
      </w:r>
      <w:r w:rsidRPr="004D27C5">
        <w:rPr>
          <w:rFonts w:ascii="Verdana" w:eastAsia="Times New Roman" w:hAnsi="Verdana" w:cs="Times New Roman"/>
          <w:color w:val="222222"/>
          <w:lang w:eastAsia="zh-CN"/>
        </w:rPr>
        <w:t>9780262640640</w:t>
      </w:r>
    </w:p>
    <w:p w:rsidR="004D27C5" w:rsidRPr="004D27C5" w:rsidRDefault="004D27C5" w:rsidP="004D27C5">
      <w:pPr>
        <w:shd w:val="clear" w:color="auto" w:fill="FFFFFF"/>
        <w:ind w:left="1238"/>
        <w:rPr>
          <w:rFonts w:ascii="Verdana" w:eastAsia="Times New Roman" w:hAnsi="Verdana" w:cs="Times New Roman"/>
          <w:color w:val="222222"/>
          <w:lang w:eastAsia="zh-CN"/>
        </w:rPr>
      </w:pPr>
      <w:r w:rsidRPr="004D27C5">
        <w:rPr>
          <w:rFonts w:ascii="Verdana" w:eastAsia="Times New Roman" w:hAnsi="Verdana" w:cs="Times New Roman"/>
          <w:color w:val="222222"/>
          <w:lang w:eastAsia="zh-CN"/>
        </w:rPr>
        <w:t>Publisher: The MIT Press</w:t>
      </w:r>
    </w:p>
    <w:p w:rsidR="00024BFF" w:rsidRPr="00D57242" w:rsidRDefault="00024BFF" w:rsidP="00024BFF">
      <w:pPr>
        <w:rPr>
          <w:rFonts w:ascii="Cambria" w:eastAsia="Times New Roman" w:hAnsi="Cambria" w:cs="Times New Roman"/>
        </w:rPr>
      </w:pPr>
      <w:r w:rsidRPr="00D57242">
        <w:rPr>
          <w:rFonts w:ascii="Cambria" w:eastAsia="Times New Roman" w:hAnsi="Cambria" w:cs="Times New Roman"/>
        </w:rPr>
        <w:t xml:space="preserve">Other assigned readings will be available on Blackboard. </w:t>
      </w:r>
    </w:p>
    <w:p w:rsidR="00024BFF" w:rsidRPr="00D57242" w:rsidRDefault="00024BFF" w:rsidP="00024BFF">
      <w:pPr>
        <w:rPr>
          <w:rFonts w:ascii="Cambria" w:eastAsia="Times New Roman" w:hAnsi="Cambria" w:cs="Times New Roman"/>
        </w:rPr>
      </w:pPr>
    </w:p>
    <w:p w:rsidR="00393DDD" w:rsidRDefault="001570E2">
      <w:pPr>
        <w:rPr>
          <w:rStyle w:val="Emphasis"/>
          <w:rFonts w:ascii="Verdana" w:hAnsi="Verdana"/>
          <w:b/>
          <w:i w:val="0"/>
          <w:color w:val="333333"/>
          <w:shd w:val="clear" w:color="auto" w:fill="FFFFFF"/>
        </w:rPr>
      </w:pPr>
      <w:r>
        <w:rPr>
          <w:rStyle w:val="Emphasis"/>
          <w:rFonts w:ascii="Verdana" w:hAnsi="Verdana"/>
          <w:b/>
          <w:i w:val="0"/>
          <w:color w:val="333333"/>
          <w:shd w:val="clear" w:color="auto" w:fill="FFFFFF"/>
        </w:rPr>
        <w:t>Calendar</w:t>
      </w:r>
      <w:r w:rsidR="00C71AE4" w:rsidRPr="00C71AE4">
        <w:rPr>
          <w:rStyle w:val="Emphasis"/>
          <w:rFonts w:ascii="Verdana" w:hAnsi="Verdana"/>
          <w:b/>
          <w:i w:val="0"/>
          <w:color w:val="333333"/>
          <w:shd w:val="clear" w:color="auto" w:fill="FFFFFF"/>
        </w:rPr>
        <w:t>:</w:t>
      </w:r>
    </w:p>
    <w:p w:rsidR="006B5364" w:rsidRDefault="006B5364">
      <w:pPr>
        <w:rPr>
          <w:rFonts w:ascii="Cambria" w:hAnsi="Cambria" w:cs="Times"/>
          <w:iCs/>
          <w:color w:val="262626"/>
        </w:rPr>
      </w:pPr>
      <w:r>
        <w:rPr>
          <w:rFonts w:ascii="Cambria" w:hAnsi="Cambria" w:cs="Times"/>
          <w:iCs/>
          <w:color w:val="262626"/>
        </w:rPr>
        <w:t xml:space="preserve">Note: </w:t>
      </w:r>
    </w:p>
    <w:p w:rsidR="00351CF2" w:rsidRPr="006B5364" w:rsidRDefault="00A36C62" w:rsidP="006B5364">
      <w:pPr>
        <w:pStyle w:val="ListParagraph"/>
        <w:numPr>
          <w:ilvl w:val="0"/>
          <w:numId w:val="4"/>
        </w:numPr>
        <w:rPr>
          <w:rFonts w:ascii="Cambria" w:hAnsi="Cambria" w:cs="Times"/>
          <w:iCs/>
          <w:color w:val="262626"/>
        </w:rPr>
      </w:pPr>
      <w:r>
        <w:rPr>
          <w:rFonts w:ascii="Cambria" w:hAnsi="Cambria" w:cs="Times"/>
          <w:iCs/>
          <w:color w:val="262626"/>
        </w:rPr>
        <w:t xml:space="preserve">This calendar </w:t>
      </w:r>
      <w:r w:rsidR="00351CF2" w:rsidRPr="006B5364">
        <w:rPr>
          <w:rFonts w:ascii="Cambria" w:hAnsi="Cambria" w:cs="Times"/>
          <w:iCs/>
          <w:color w:val="262626"/>
        </w:rPr>
        <w:t xml:space="preserve">is </w:t>
      </w:r>
      <w:r w:rsidR="00393DDD" w:rsidRPr="006B5364">
        <w:rPr>
          <w:rFonts w:ascii="Cambria" w:hAnsi="Cambria" w:cs="Times"/>
          <w:iCs/>
          <w:color w:val="262626"/>
        </w:rPr>
        <w:t>subject to adjustments</w:t>
      </w:r>
      <w:r w:rsidR="00BA3F2F">
        <w:rPr>
          <w:rFonts w:ascii="Cambria" w:hAnsi="Cambria" w:cs="Times"/>
          <w:iCs/>
          <w:color w:val="262626"/>
        </w:rPr>
        <w:t>, for example,</w:t>
      </w:r>
      <w:r w:rsidR="00393DDD" w:rsidRPr="006B5364">
        <w:rPr>
          <w:rFonts w:ascii="Cambria" w:hAnsi="Cambria" w:cs="Times"/>
          <w:iCs/>
          <w:color w:val="262626"/>
        </w:rPr>
        <w:t xml:space="preserve"> depending on the schedules of guest speakers</w:t>
      </w:r>
      <w:r w:rsidR="00351CF2" w:rsidRPr="006B5364">
        <w:rPr>
          <w:rFonts w:ascii="Cambria" w:hAnsi="Cambria" w:cs="Times"/>
          <w:iCs/>
          <w:color w:val="262626"/>
        </w:rPr>
        <w:t>.</w:t>
      </w:r>
    </w:p>
    <w:p w:rsidR="00351CF2" w:rsidRPr="006B5364" w:rsidRDefault="007140CA" w:rsidP="006B5364">
      <w:pPr>
        <w:pStyle w:val="ListParagraph"/>
        <w:numPr>
          <w:ilvl w:val="0"/>
          <w:numId w:val="4"/>
        </w:numPr>
        <w:rPr>
          <w:rFonts w:ascii="Cambria" w:hAnsi="Cambria" w:cs="Times"/>
          <w:iCs/>
          <w:color w:val="262626"/>
        </w:rPr>
      </w:pPr>
      <w:r w:rsidRPr="006B5364">
        <w:rPr>
          <w:rFonts w:ascii="Cambria" w:hAnsi="Cambria" w:cs="Times"/>
          <w:iCs/>
          <w:color w:val="262626"/>
        </w:rPr>
        <w:t xml:space="preserve">Each </w:t>
      </w:r>
      <w:r w:rsidR="00351CF2" w:rsidRPr="006B5364">
        <w:rPr>
          <w:rFonts w:ascii="Cambria" w:hAnsi="Cambria" w:cs="Times"/>
          <w:iCs/>
          <w:color w:val="262626"/>
        </w:rPr>
        <w:t>“Mock Politburo”</w:t>
      </w:r>
      <w:r w:rsidRPr="006B5364">
        <w:rPr>
          <w:rFonts w:ascii="Cambria" w:hAnsi="Cambria" w:cs="Times"/>
          <w:iCs/>
          <w:color w:val="262626"/>
        </w:rPr>
        <w:t xml:space="preserve"> meeting is a simulation of a real one that happened at a turning point of the post-revolution history.</w:t>
      </w:r>
      <w:r w:rsidR="00351CF2" w:rsidRPr="006B5364">
        <w:rPr>
          <w:rFonts w:ascii="Cambria" w:hAnsi="Cambria" w:cs="Times"/>
          <w:iCs/>
          <w:color w:val="262626"/>
        </w:rPr>
        <w:t xml:space="preserve"> 4-</w:t>
      </w:r>
      <w:r w:rsidRPr="006B5364">
        <w:rPr>
          <w:rFonts w:ascii="Cambria" w:hAnsi="Cambria" w:cs="Times"/>
          <w:iCs/>
          <w:color w:val="262626"/>
        </w:rPr>
        <w:t>6 students assume</w:t>
      </w:r>
      <w:r w:rsidR="00351CF2" w:rsidRPr="006B5364">
        <w:rPr>
          <w:rFonts w:ascii="Cambria" w:hAnsi="Cambria" w:cs="Times"/>
          <w:iCs/>
          <w:color w:val="262626"/>
        </w:rPr>
        <w:t xml:space="preserve"> the policy positions of randomly assigned Politburo </w:t>
      </w:r>
      <w:r w:rsidRPr="006B5364">
        <w:rPr>
          <w:rFonts w:ascii="Cambria" w:hAnsi="Cambria" w:cs="Times"/>
          <w:iCs/>
          <w:color w:val="262626"/>
        </w:rPr>
        <w:t xml:space="preserve">Standing Committee </w:t>
      </w:r>
      <w:r w:rsidR="00351CF2" w:rsidRPr="006B5364">
        <w:rPr>
          <w:rFonts w:ascii="Cambria" w:hAnsi="Cambria" w:cs="Times"/>
          <w:iCs/>
          <w:color w:val="262626"/>
        </w:rPr>
        <w:t>members</w:t>
      </w:r>
      <w:r w:rsidRPr="006B5364">
        <w:rPr>
          <w:rFonts w:ascii="Cambria" w:hAnsi="Cambria" w:cs="Times"/>
          <w:iCs/>
          <w:color w:val="262626"/>
        </w:rPr>
        <w:t>, of</w:t>
      </w:r>
      <w:r w:rsidR="006B5364" w:rsidRPr="006B5364">
        <w:rPr>
          <w:rFonts w:ascii="Cambria" w:hAnsi="Cambria" w:cs="Times"/>
          <w:iCs/>
          <w:color w:val="262626"/>
        </w:rPr>
        <w:t xml:space="preserve">fer speeches in turn and then enter a debate (timed). In the final stage, other </w:t>
      </w:r>
      <w:r w:rsidR="00BA3F2F">
        <w:rPr>
          <w:rFonts w:ascii="Cambria" w:hAnsi="Cambria" w:cs="Times"/>
          <w:iCs/>
          <w:color w:val="262626"/>
        </w:rPr>
        <w:t>students</w:t>
      </w:r>
      <w:r w:rsidR="006B5364" w:rsidRPr="006B5364">
        <w:rPr>
          <w:rFonts w:ascii="Cambria" w:hAnsi="Cambria" w:cs="Times"/>
          <w:iCs/>
          <w:color w:val="262626"/>
        </w:rPr>
        <w:t>, acting as non-Standing-Committee Politburo members, can contribute to the discussion.</w:t>
      </w:r>
    </w:p>
    <w:p w:rsidR="00351CF2" w:rsidRDefault="00351CF2">
      <w:pPr>
        <w:rPr>
          <w:rFonts w:ascii="Cambria" w:hAnsi="Cambria" w:cs="Times"/>
          <w:iCs/>
          <w:color w:val="262626"/>
        </w:rPr>
      </w:pPr>
    </w:p>
    <w:p w:rsidR="00954CEE" w:rsidRPr="00C71AE4" w:rsidRDefault="004D27C5">
      <w:pPr>
        <w:rPr>
          <w:rFonts w:ascii="Cambria" w:hAnsi="Cambria"/>
          <w:b/>
        </w:rPr>
      </w:pPr>
      <w:r w:rsidRPr="00C71AE4">
        <w:rPr>
          <w:rFonts w:ascii="Cambria" w:hAnsi="Cambria"/>
          <w:b/>
        </w:rPr>
        <w:br w:type="page"/>
      </w:r>
    </w:p>
    <w:tbl>
      <w:tblPr>
        <w:tblW w:w="9720" w:type="dxa"/>
        <w:tblInd w:w="-432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40"/>
        <w:gridCol w:w="980"/>
        <w:gridCol w:w="1620"/>
        <w:gridCol w:w="6480"/>
      </w:tblGrid>
      <w:tr w:rsidR="00D43145" w:rsidRPr="00D43145" w:rsidTr="00351CF2">
        <w:trPr>
          <w:trHeight w:val="300"/>
        </w:trPr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lastRenderedPageBreak/>
              <w:t>class</w:t>
            </w:r>
          </w:p>
        </w:tc>
        <w:tc>
          <w:tcPr>
            <w:tcW w:w="26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6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Content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Aug. 26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Introduction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Aug. 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  <w:r w:rsidRPr="00351CF2"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wave"/>
                <w:lang w:eastAsia="zh-CN"/>
              </w:rPr>
              <w:t>The Political Economy of China 1949-2015:</w:t>
            </w:r>
            <w:r w:rsidRPr="00D4314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  <w:t xml:space="preserve"> The Soviet Complex,  Mao's Great Leap Forward, The Great Famine, The Cultural Revolution, The Third Plenum, Deng Xiaoping's Southern Tour, Zhu Rongji's "Reform with Losers", WTO, Wen Jiabao's Four-Trillion Stimulus, The New Normal               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  <w:t xml:space="preserve">                               </w:t>
            </w:r>
            <w:r w:rsidRPr="00D4314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zh-CN"/>
              </w:rPr>
              <w:t>+Guest Lectures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Aug. 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Money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  <w:lang w:eastAsia="zh-CN"/>
              </w:rPr>
              <w:t>F. before Labor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Sept. 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14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  <w:lang w:eastAsia="zh-CN"/>
              </w:rPr>
              <w:t>W. after Break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Who makes economic policy decisions of China?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Mock Politburo 1950: West Wind? East Wind?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Three Rural Issues: Agriculture, Rural Areas and Farmers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Mock Politburo 1962: Seven Thousand Cadres Conference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vMerge w:val="restart"/>
            <w:shd w:val="clear" w:color="auto" w:fill="auto"/>
            <w:noWrap/>
            <w:vAlign w:val="center"/>
            <w:hideMark/>
          </w:tcPr>
          <w:p w:rsidR="00D43145" w:rsidRPr="00D43145" w:rsidRDefault="004D27C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Manufacturing,</w:t>
            </w:r>
            <w:r w:rsid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 Energy Consumption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, and the Environment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Oct. 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Mock Politburo 1978: The Third Plenum of the 11th Party Congress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Nov.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vMerge w:val="restart"/>
            <w:shd w:val="clear" w:color="auto" w:fill="auto"/>
            <w:noWrap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IT, Finance, Health, Education, Social Security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Nov. 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Nov. 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Mock Politburo 1985: Cross the River by Touching the Stones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Nov. 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 xml:space="preserve">Urbanization with Chinese Characteristics? 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Nov. 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Nov. 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Mock</w:t>
            </w:r>
            <w:r w:rsidR="00351CF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Politburo 1997: Reform with Laid</w:t>
            </w:r>
            <w:r w:rsidRPr="00D431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off Workers as Losers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Nov. 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China and the World Economy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Nov. 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Nov. 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Mock Politburo 2008: </w:t>
            </w:r>
            <w:r w:rsidR="00351CF2" w:rsidRPr="00D431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Backpedaling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Nov. 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China's Future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Nov. 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  <w:lang w:eastAsia="zh-CN"/>
              </w:rPr>
              <w:t>M. after TG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Dec.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Wednesday</w:t>
            </w:r>
          </w:p>
        </w:tc>
        <w:tc>
          <w:tcPr>
            <w:tcW w:w="6480" w:type="dxa"/>
            <w:vMerge/>
            <w:vAlign w:val="center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Dec. 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zh-CN"/>
              </w:rPr>
              <w:t>Mock Politburo 2015: Back to the Future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Dec. 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Monday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Epilogue</w:t>
            </w:r>
          </w:p>
        </w:tc>
      </w:tr>
      <w:tr w:rsidR="00D43145" w:rsidRPr="00D43145" w:rsidTr="00351CF2">
        <w:trPr>
          <w:trHeight w:val="300"/>
        </w:trPr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Final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Dec. 15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31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zh-CN"/>
              </w:rPr>
              <w:t>Tuesday</w:t>
            </w:r>
          </w:p>
        </w:tc>
        <w:tc>
          <w:tcPr>
            <w:tcW w:w="64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3145" w:rsidRPr="00D43145" w:rsidRDefault="00D43145" w:rsidP="00D43145">
            <w:pPr>
              <w:rPr>
                <w:rFonts w:ascii="Verdana" w:eastAsia="Times New Roman" w:hAnsi="Verdana" w:cs="Times New Roman"/>
                <w:color w:val="333333"/>
                <w:sz w:val="22"/>
                <w:szCs w:val="22"/>
                <w:lang w:eastAsia="zh-CN"/>
              </w:rPr>
            </w:pPr>
            <w:r w:rsidRPr="00D43145">
              <w:rPr>
                <w:rFonts w:ascii="Verdana" w:eastAsia="Times New Roman" w:hAnsi="Verdana" w:cs="Times New Roman"/>
                <w:color w:val="333333"/>
                <w:sz w:val="22"/>
                <w:szCs w:val="22"/>
                <w:lang w:eastAsia="zh-CN"/>
              </w:rPr>
              <w:t>11:30 A.M - 2:00 P.M</w:t>
            </w:r>
            <w:r w:rsidR="00FD3900">
              <w:rPr>
                <w:rFonts w:ascii="Verdana" w:eastAsia="Times New Roman" w:hAnsi="Verdana" w:cs="Times New Roman"/>
                <w:color w:val="333333"/>
                <w:sz w:val="22"/>
                <w:szCs w:val="22"/>
                <w:lang w:eastAsia="zh-CN"/>
              </w:rPr>
              <w:t>. Mostly</w:t>
            </w:r>
            <w:r w:rsidR="00386E77">
              <w:rPr>
                <w:rFonts w:ascii="Verdana" w:eastAsia="Times New Roman" w:hAnsi="Verdana" w:cs="Times New Roman"/>
                <w:color w:val="333333"/>
                <w:sz w:val="22"/>
                <w:szCs w:val="22"/>
                <w:lang w:eastAsia="zh-CN"/>
              </w:rPr>
              <w:t xml:space="preserve"> </w:t>
            </w:r>
            <w:r w:rsidR="00FD3900">
              <w:rPr>
                <w:rFonts w:ascii="Verdana" w:eastAsia="Times New Roman" w:hAnsi="Verdana" w:cs="Times New Roman"/>
                <w:color w:val="333333"/>
                <w:sz w:val="22"/>
                <w:szCs w:val="22"/>
                <w:lang w:eastAsia="zh-CN"/>
              </w:rPr>
              <w:t>Multiple-Choice Questions</w:t>
            </w:r>
          </w:p>
        </w:tc>
      </w:tr>
    </w:tbl>
    <w:p w:rsidR="004D27C5" w:rsidRPr="00C71AE4" w:rsidRDefault="004D27C5" w:rsidP="004D27C5">
      <w:pPr>
        <w:rPr>
          <w:rStyle w:val="Emphasis"/>
          <w:rFonts w:ascii="Verdana" w:hAnsi="Verdana"/>
          <w:b/>
          <w:i w:val="0"/>
          <w:color w:val="333333"/>
          <w:shd w:val="clear" w:color="auto" w:fill="FFFFFF"/>
        </w:rPr>
      </w:pPr>
      <w:r w:rsidRPr="00C71AE4">
        <w:rPr>
          <w:rStyle w:val="Emphasis"/>
          <w:rFonts w:ascii="Verdana" w:hAnsi="Verdana"/>
          <w:b/>
          <w:i w:val="0"/>
          <w:color w:val="333333"/>
          <w:shd w:val="clear" w:color="auto" w:fill="FFFFFF"/>
        </w:rPr>
        <w:lastRenderedPageBreak/>
        <w:t>Grading:</w:t>
      </w:r>
      <w:bookmarkStart w:id="0" w:name="_GoBack"/>
      <w:bookmarkEnd w:id="0"/>
    </w:p>
    <w:p w:rsidR="004D27C5" w:rsidRDefault="008812D3" w:rsidP="008812D3">
      <w:pPr>
        <w:rPr>
          <w:rFonts w:ascii="Cambria" w:hAnsi="Cambria"/>
        </w:rPr>
      </w:pPr>
      <w:r>
        <w:rPr>
          <w:rFonts w:ascii="Cambria" w:hAnsi="Cambria"/>
        </w:rPr>
        <w:t>Final: 50%</w:t>
      </w:r>
    </w:p>
    <w:p w:rsidR="008812D3" w:rsidRDefault="008812D3" w:rsidP="008812D3">
      <w:pPr>
        <w:rPr>
          <w:rFonts w:ascii="Cambria" w:hAnsi="Cambria"/>
        </w:rPr>
      </w:pPr>
      <w:r>
        <w:rPr>
          <w:rFonts w:ascii="Cambria" w:hAnsi="Cambria"/>
        </w:rPr>
        <w:t>Mock Politburo: 30% (playing Standing Committee members</w:t>
      </w:r>
      <w:r w:rsidR="006B5364">
        <w:rPr>
          <w:rFonts w:ascii="Cambria" w:hAnsi="Cambria"/>
        </w:rPr>
        <w:t>, graded by multiple TA’s</w:t>
      </w:r>
      <w:r>
        <w:rPr>
          <w:rFonts w:ascii="Cambria" w:hAnsi="Cambria"/>
        </w:rPr>
        <w:t>) +10% (participation as other Politburo members)</w:t>
      </w:r>
    </w:p>
    <w:p w:rsidR="001570E2" w:rsidRDefault="008812D3" w:rsidP="00083058">
      <w:pPr>
        <w:rPr>
          <w:rFonts w:ascii="Cambria" w:hAnsi="Cambria"/>
        </w:rPr>
      </w:pPr>
      <w:r>
        <w:rPr>
          <w:rFonts w:ascii="Cambria" w:hAnsi="Cambria"/>
        </w:rPr>
        <w:t>Class attendance, other participation,</w:t>
      </w:r>
      <w:r w:rsidR="004D27C5" w:rsidRPr="00D5724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</w:t>
      </w:r>
      <w:r w:rsidR="004D27C5" w:rsidRPr="00D57242">
        <w:rPr>
          <w:rFonts w:ascii="Cambria" w:hAnsi="Cambria"/>
        </w:rPr>
        <w:t>improvement over the semester</w:t>
      </w:r>
      <w:r>
        <w:rPr>
          <w:rFonts w:ascii="Cambria" w:hAnsi="Cambria"/>
        </w:rPr>
        <w:t>: 10%</w:t>
      </w:r>
    </w:p>
    <w:p w:rsidR="001570E2" w:rsidRDefault="001570E2" w:rsidP="00083058">
      <w:pPr>
        <w:rPr>
          <w:rFonts w:ascii="Cambria" w:hAnsi="Cambria"/>
        </w:rPr>
      </w:pPr>
    </w:p>
    <w:p w:rsidR="001570E2" w:rsidRPr="001570E2" w:rsidRDefault="001570E2" w:rsidP="00083058">
      <w:pPr>
        <w:rPr>
          <w:rFonts w:ascii="Cambria" w:hAnsi="Cambria"/>
        </w:rPr>
      </w:pPr>
      <w:r w:rsidRPr="001570E2">
        <w:rPr>
          <w:rFonts w:ascii="Cambria" w:hAnsi="Cambria"/>
        </w:rPr>
        <w:t xml:space="preserve">The Grading Policy of the Economics Department: </w:t>
      </w:r>
    </w:p>
    <w:p w:rsidR="001570E2" w:rsidRPr="001570E2" w:rsidRDefault="001570E2" w:rsidP="00083058">
      <w:pPr>
        <w:numPr>
          <w:ilvl w:val="0"/>
          <w:numId w:val="3"/>
        </w:numPr>
        <w:shd w:val="clear" w:color="auto" w:fill="FCFCFC"/>
        <w:ind w:left="225"/>
        <w:rPr>
          <w:rFonts w:ascii="Cambria" w:hAnsi="Cambria"/>
        </w:rPr>
      </w:pPr>
      <w:r w:rsidRPr="001570E2">
        <w:rPr>
          <w:rFonts w:ascii="Cambria" w:hAnsi="Cambria"/>
        </w:rPr>
        <w:t>A/A- not to exceed 35%</w:t>
      </w:r>
    </w:p>
    <w:p w:rsidR="001570E2" w:rsidRPr="001570E2" w:rsidRDefault="001570E2" w:rsidP="00083058">
      <w:pPr>
        <w:numPr>
          <w:ilvl w:val="0"/>
          <w:numId w:val="3"/>
        </w:numPr>
        <w:shd w:val="clear" w:color="auto" w:fill="FCFCFC"/>
        <w:ind w:left="225"/>
        <w:rPr>
          <w:rFonts w:ascii="Cambria" w:hAnsi="Cambria"/>
        </w:rPr>
      </w:pPr>
      <w:r w:rsidRPr="001570E2">
        <w:rPr>
          <w:rFonts w:ascii="Cambria" w:hAnsi="Cambria"/>
        </w:rPr>
        <w:t>A through B- not to exceed 80%</w:t>
      </w:r>
    </w:p>
    <w:p w:rsidR="001570E2" w:rsidRPr="001570E2" w:rsidRDefault="001570E2" w:rsidP="00083058">
      <w:pPr>
        <w:numPr>
          <w:ilvl w:val="0"/>
          <w:numId w:val="3"/>
        </w:numPr>
        <w:shd w:val="clear" w:color="auto" w:fill="FCFCFC"/>
        <w:ind w:left="225"/>
        <w:rPr>
          <w:rFonts w:ascii="Cambria" w:hAnsi="Cambria"/>
        </w:rPr>
      </w:pPr>
      <w:r w:rsidRPr="001570E2">
        <w:rPr>
          <w:rFonts w:ascii="Cambria" w:hAnsi="Cambria"/>
        </w:rPr>
        <w:t>C+ or below at least 20%</w:t>
      </w:r>
    </w:p>
    <w:p w:rsidR="001570E2" w:rsidRDefault="001570E2" w:rsidP="00083058">
      <w:pPr>
        <w:rPr>
          <w:rFonts w:ascii="Cambria" w:hAnsi="Cambria"/>
        </w:rPr>
      </w:pPr>
    </w:p>
    <w:p w:rsidR="00D43145" w:rsidRPr="00083058" w:rsidRDefault="001570E2" w:rsidP="00715FAF">
      <w:pPr>
        <w:jc w:val="center"/>
        <w:rPr>
          <w:rStyle w:val="Emphasis"/>
          <w:rFonts w:ascii="Verdana" w:hAnsi="Verdana"/>
          <w:b/>
          <w:i w:val="0"/>
          <w:color w:val="333333"/>
          <w:sz w:val="48"/>
          <w:szCs w:val="48"/>
          <w:u w:val="wave"/>
          <w:shd w:val="clear" w:color="auto" w:fill="FFFFFF"/>
        </w:rPr>
      </w:pPr>
      <w:r w:rsidRPr="00083058">
        <w:rPr>
          <w:rStyle w:val="Emphasis"/>
          <w:rFonts w:ascii="Verdana" w:hAnsi="Verdana"/>
          <w:b/>
          <w:i w:val="0"/>
          <w:color w:val="333333"/>
          <w:sz w:val="48"/>
          <w:szCs w:val="48"/>
          <w:u w:val="wave"/>
          <w:shd w:val="clear" w:color="auto" w:fill="FFFFFF"/>
        </w:rPr>
        <w:t>The Honor Code is always in effect and will be enforced!</w:t>
      </w:r>
    </w:p>
    <w:sectPr w:rsidR="00D43145" w:rsidRPr="00083058" w:rsidSect="004B2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E4B"/>
    <w:multiLevelType w:val="multilevel"/>
    <w:tmpl w:val="B08A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4B2D"/>
    <w:multiLevelType w:val="multilevel"/>
    <w:tmpl w:val="A42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D3E12"/>
    <w:multiLevelType w:val="hybridMultilevel"/>
    <w:tmpl w:val="EF54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B6C08"/>
    <w:multiLevelType w:val="multilevel"/>
    <w:tmpl w:val="9A3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22D78"/>
    <w:multiLevelType w:val="hybridMultilevel"/>
    <w:tmpl w:val="ADA4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954CEE"/>
    <w:rsid w:val="00024BFF"/>
    <w:rsid w:val="000267A1"/>
    <w:rsid w:val="000269EE"/>
    <w:rsid w:val="00066221"/>
    <w:rsid w:val="0007508A"/>
    <w:rsid w:val="000805F3"/>
    <w:rsid w:val="00083058"/>
    <w:rsid w:val="00086EA6"/>
    <w:rsid w:val="000D0992"/>
    <w:rsid w:val="001115C0"/>
    <w:rsid w:val="00127452"/>
    <w:rsid w:val="001570E2"/>
    <w:rsid w:val="00164E4F"/>
    <w:rsid w:val="00195471"/>
    <w:rsid w:val="001D5D1A"/>
    <w:rsid w:val="001F4E6D"/>
    <w:rsid w:val="0020461A"/>
    <w:rsid w:val="00227C90"/>
    <w:rsid w:val="00237F9D"/>
    <w:rsid w:val="0024615F"/>
    <w:rsid w:val="0026510D"/>
    <w:rsid w:val="00271F0B"/>
    <w:rsid w:val="00287806"/>
    <w:rsid w:val="0030277B"/>
    <w:rsid w:val="00351CF2"/>
    <w:rsid w:val="00354BF5"/>
    <w:rsid w:val="00386E77"/>
    <w:rsid w:val="00392E17"/>
    <w:rsid w:val="00393DDD"/>
    <w:rsid w:val="00451EE3"/>
    <w:rsid w:val="00490179"/>
    <w:rsid w:val="00496744"/>
    <w:rsid w:val="004B2766"/>
    <w:rsid w:val="004D27C5"/>
    <w:rsid w:val="004F79F3"/>
    <w:rsid w:val="00517A31"/>
    <w:rsid w:val="005228FC"/>
    <w:rsid w:val="00554CB0"/>
    <w:rsid w:val="005A0C57"/>
    <w:rsid w:val="005A557A"/>
    <w:rsid w:val="005D5E59"/>
    <w:rsid w:val="00604748"/>
    <w:rsid w:val="00607D6D"/>
    <w:rsid w:val="00614160"/>
    <w:rsid w:val="00631AE3"/>
    <w:rsid w:val="00650A9A"/>
    <w:rsid w:val="00652F53"/>
    <w:rsid w:val="00666D6E"/>
    <w:rsid w:val="00691B41"/>
    <w:rsid w:val="006B1378"/>
    <w:rsid w:val="006B5364"/>
    <w:rsid w:val="006B7F15"/>
    <w:rsid w:val="007140CA"/>
    <w:rsid w:val="00715FAF"/>
    <w:rsid w:val="00725974"/>
    <w:rsid w:val="00761B42"/>
    <w:rsid w:val="007D10BC"/>
    <w:rsid w:val="007E76EB"/>
    <w:rsid w:val="00821907"/>
    <w:rsid w:val="00840721"/>
    <w:rsid w:val="0084339F"/>
    <w:rsid w:val="00844DFF"/>
    <w:rsid w:val="008812D3"/>
    <w:rsid w:val="008C530D"/>
    <w:rsid w:val="009338CA"/>
    <w:rsid w:val="00945D65"/>
    <w:rsid w:val="00954CEE"/>
    <w:rsid w:val="009F5F08"/>
    <w:rsid w:val="00A032F3"/>
    <w:rsid w:val="00A33958"/>
    <w:rsid w:val="00A36C62"/>
    <w:rsid w:val="00A51DFC"/>
    <w:rsid w:val="00A65788"/>
    <w:rsid w:val="00AB7463"/>
    <w:rsid w:val="00AC0914"/>
    <w:rsid w:val="00AD4EFC"/>
    <w:rsid w:val="00BA3F2F"/>
    <w:rsid w:val="00BC2C44"/>
    <w:rsid w:val="00BF59B3"/>
    <w:rsid w:val="00C37395"/>
    <w:rsid w:val="00C71AE4"/>
    <w:rsid w:val="00C75E5E"/>
    <w:rsid w:val="00CA174E"/>
    <w:rsid w:val="00CA73D2"/>
    <w:rsid w:val="00CF5904"/>
    <w:rsid w:val="00D053F7"/>
    <w:rsid w:val="00D43145"/>
    <w:rsid w:val="00D45B30"/>
    <w:rsid w:val="00D5046C"/>
    <w:rsid w:val="00D57242"/>
    <w:rsid w:val="00DA6E36"/>
    <w:rsid w:val="00DF7FDC"/>
    <w:rsid w:val="00E44689"/>
    <w:rsid w:val="00E46A72"/>
    <w:rsid w:val="00E806C9"/>
    <w:rsid w:val="00ED50AF"/>
    <w:rsid w:val="00FC2DB5"/>
    <w:rsid w:val="00FD3900"/>
    <w:rsid w:val="00FD6FEC"/>
    <w:rsid w:val="00FE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72B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72BC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72BC8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024BFF"/>
    <w:rPr>
      <w:rFonts w:ascii="Palatino" w:eastAsia="Times" w:hAnsi="Palatino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024BFF"/>
    <w:rPr>
      <w:rFonts w:ascii="Palatino" w:eastAsia="Times" w:hAnsi="Palatino" w:cs="Times New Roman"/>
      <w:color w:val="000000"/>
      <w:szCs w:val="20"/>
    </w:rPr>
  </w:style>
  <w:style w:type="paragraph" w:customStyle="1" w:styleId="Default">
    <w:name w:val="Default"/>
    <w:rsid w:val="0072597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354BF5"/>
    <w:rPr>
      <w:color w:val="0000FF"/>
      <w:u w:val="single"/>
    </w:rPr>
  </w:style>
  <w:style w:type="character" w:customStyle="1" w:styleId="type">
    <w:name w:val="type"/>
    <w:basedOn w:val="DefaultParagraphFont"/>
    <w:rsid w:val="004D27C5"/>
  </w:style>
  <w:style w:type="character" w:styleId="Emphasis">
    <w:name w:val="Emphasis"/>
    <w:basedOn w:val="DefaultParagraphFont"/>
    <w:uiPriority w:val="20"/>
    <w:qFormat/>
    <w:rsid w:val="00C71AE4"/>
    <w:rPr>
      <w:i/>
      <w:iCs/>
    </w:rPr>
  </w:style>
  <w:style w:type="paragraph" w:styleId="ListParagraph">
    <w:name w:val="List Paragraph"/>
    <w:basedOn w:val="Normal"/>
    <w:uiPriority w:val="34"/>
    <w:qFormat/>
    <w:rsid w:val="006B5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72B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72BC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72BC8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024BFF"/>
    <w:rPr>
      <w:rFonts w:ascii="Palatino" w:eastAsia="Times" w:hAnsi="Palatino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024BFF"/>
    <w:rPr>
      <w:rFonts w:ascii="Palatino" w:eastAsia="Times" w:hAnsi="Palatino" w:cs="Times New Roman"/>
      <w:color w:val="000000"/>
      <w:szCs w:val="20"/>
    </w:rPr>
  </w:style>
  <w:style w:type="paragraph" w:customStyle="1" w:styleId="Default">
    <w:name w:val="Default"/>
    <w:rsid w:val="0072597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354BF5"/>
    <w:rPr>
      <w:color w:val="0000FF"/>
      <w:u w:val="single"/>
    </w:rPr>
  </w:style>
  <w:style w:type="character" w:customStyle="1" w:styleId="type">
    <w:name w:val="type"/>
    <w:basedOn w:val="DefaultParagraphFont"/>
    <w:rsid w:val="004D27C5"/>
  </w:style>
  <w:style w:type="character" w:styleId="Emphasis">
    <w:name w:val="Emphasis"/>
    <w:basedOn w:val="DefaultParagraphFont"/>
    <w:uiPriority w:val="20"/>
    <w:qFormat/>
    <w:rsid w:val="00C71AE4"/>
    <w:rPr>
      <w:i/>
      <w:iCs/>
    </w:rPr>
  </w:style>
  <w:style w:type="paragraph" w:styleId="ListParagraph">
    <w:name w:val="List Paragraph"/>
    <w:basedOn w:val="Normal"/>
    <w:uiPriority w:val="34"/>
    <w:qFormat/>
    <w:rsid w:val="006B5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01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u8@emory.edu" TargetMode="External"/><Relationship Id="rId5" Type="http://schemas.openxmlformats.org/officeDocument/2006/relationships/hyperlink" Target="https://classes.emory.edu/webapps/portal/frameset.jsp?url=%2Fwebapps%2Fblackboard%2Fexecute%2Flauncher%3Ftype%3DCourse%26id%3D_103374_1%26url%3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Remington</dc:creator>
  <cp:lastModifiedBy>mpbrown</cp:lastModifiedBy>
  <cp:revision>2</cp:revision>
  <cp:lastPrinted>2015-08-26T15:28:00Z</cp:lastPrinted>
  <dcterms:created xsi:type="dcterms:W3CDTF">2015-08-26T15:29:00Z</dcterms:created>
  <dcterms:modified xsi:type="dcterms:W3CDTF">2015-08-26T15:29:00Z</dcterms:modified>
</cp:coreProperties>
</file>